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1663"/>
        <w:gridCol w:w="2165"/>
        <w:gridCol w:w="2676"/>
      </w:tblGrid>
      <w:tr w:rsidR="0047266E" w:rsidRPr="00472806" w:rsidTr="007F0F5E">
        <w:tc>
          <w:tcPr>
            <w:tcW w:w="2943" w:type="dxa"/>
          </w:tcPr>
          <w:p w:rsidR="0047266E" w:rsidRPr="00472806" w:rsidRDefault="0047266E" w:rsidP="007F0F5E">
            <w:r w:rsidRPr="00472806">
              <w:rPr>
                <w:noProof/>
              </w:rPr>
              <w:drawing>
                <wp:anchor distT="0" distB="0" distL="114300" distR="114300" simplePos="0" relativeHeight="251659264" behindDoc="0" locked="0" layoutInCell="1" allowOverlap="1" wp14:anchorId="74BAD4C5" wp14:editId="3E81796F">
                  <wp:simplePos x="0" y="0"/>
                  <wp:positionH relativeFrom="column">
                    <wp:posOffset>-73025</wp:posOffset>
                  </wp:positionH>
                  <wp:positionV relativeFrom="paragraph">
                    <wp:posOffset>-3810</wp:posOffset>
                  </wp:positionV>
                  <wp:extent cx="1885950" cy="1285875"/>
                  <wp:effectExtent l="0" t="0" r="0" b="9525"/>
                  <wp:wrapNone/>
                  <wp:docPr id="3" name="Image 2" descr="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GH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86506" cy="128625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47266E" w:rsidRPr="00472806" w:rsidRDefault="0047266E" w:rsidP="007F0F5E"/>
          <w:p w:rsidR="0047266E" w:rsidRPr="00472806" w:rsidRDefault="0047266E" w:rsidP="007F0F5E"/>
          <w:p w:rsidR="0047266E" w:rsidRPr="00472806" w:rsidRDefault="0047266E" w:rsidP="007F0F5E"/>
        </w:tc>
        <w:tc>
          <w:tcPr>
            <w:tcW w:w="1663" w:type="dxa"/>
          </w:tcPr>
          <w:p w:rsidR="0047266E" w:rsidRPr="00472806" w:rsidRDefault="0047266E" w:rsidP="007F0F5E"/>
          <w:p w:rsidR="0047266E" w:rsidRPr="00472806" w:rsidRDefault="0047266E" w:rsidP="007F0F5E"/>
          <w:p w:rsidR="0047266E" w:rsidRPr="00472806" w:rsidRDefault="0047266E" w:rsidP="007F0F5E"/>
          <w:p w:rsidR="0047266E" w:rsidRPr="00472806" w:rsidRDefault="0047266E" w:rsidP="007F0F5E"/>
          <w:p w:rsidR="00813B02" w:rsidRPr="00472806" w:rsidRDefault="00813B02" w:rsidP="007F0F5E"/>
          <w:p w:rsidR="00813B02" w:rsidRPr="00472806" w:rsidRDefault="00813B02" w:rsidP="007F0F5E"/>
          <w:p w:rsidR="00813B02" w:rsidRPr="00472806" w:rsidRDefault="00813B02" w:rsidP="007F0F5E"/>
          <w:p w:rsidR="00813B02" w:rsidRPr="00472806" w:rsidRDefault="00813B02" w:rsidP="007F0F5E"/>
          <w:p w:rsidR="00813B02" w:rsidRPr="00472806" w:rsidRDefault="00813B02" w:rsidP="007F0F5E"/>
          <w:p w:rsidR="00813B02" w:rsidRPr="00472806" w:rsidRDefault="00813B02" w:rsidP="007F0F5E"/>
          <w:p w:rsidR="00813B02" w:rsidRPr="00472806" w:rsidRDefault="00813B02" w:rsidP="007F0F5E"/>
        </w:tc>
        <w:tc>
          <w:tcPr>
            <w:tcW w:w="2165" w:type="dxa"/>
          </w:tcPr>
          <w:p w:rsidR="0047266E" w:rsidRPr="00472806" w:rsidRDefault="0047266E" w:rsidP="007F0F5E"/>
          <w:p w:rsidR="0047266E" w:rsidRPr="00472806" w:rsidRDefault="0047266E" w:rsidP="007F0F5E"/>
          <w:p w:rsidR="0047266E" w:rsidRPr="00472806" w:rsidRDefault="0047266E" w:rsidP="007F0F5E"/>
          <w:p w:rsidR="0047266E" w:rsidRPr="00472806" w:rsidRDefault="0047266E" w:rsidP="007F0F5E"/>
        </w:tc>
        <w:tc>
          <w:tcPr>
            <w:tcW w:w="2441" w:type="dxa"/>
          </w:tcPr>
          <w:p w:rsidR="0047266E" w:rsidRPr="00472806" w:rsidRDefault="00813B02" w:rsidP="00813B02">
            <w:pPr>
              <w:rPr>
                <w:b/>
                <w:bCs/>
              </w:rPr>
            </w:pPr>
            <w:r w:rsidRPr="00472806">
              <w:rPr>
                <w:noProof/>
              </w:rPr>
              <w:drawing>
                <wp:inline distT="0" distB="0" distL="0" distR="0" wp14:anchorId="4EE828CA" wp14:editId="3B71B203">
                  <wp:extent cx="1562100" cy="1123950"/>
                  <wp:effectExtent l="0" t="0" r="0" b="0"/>
                  <wp:docPr id="1" name="Image 1" descr="Logo carré"/>
                  <wp:cNvGraphicFramePr/>
                  <a:graphic xmlns:a="http://schemas.openxmlformats.org/drawingml/2006/main">
                    <a:graphicData uri="http://schemas.openxmlformats.org/drawingml/2006/picture">
                      <pic:pic xmlns:pic="http://schemas.openxmlformats.org/drawingml/2006/picture">
                        <pic:nvPicPr>
                          <pic:cNvPr id="1" name="Image 1" descr="Logo carré"/>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123950"/>
                          </a:xfrm>
                          <a:prstGeom prst="rect">
                            <a:avLst/>
                          </a:prstGeom>
                          <a:noFill/>
                          <a:ln>
                            <a:noFill/>
                          </a:ln>
                        </pic:spPr>
                      </pic:pic>
                    </a:graphicData>
                  </a:graphic>
                </wp:inline>
              </w:drawing>
            </w:r>
          </w:p>
        </w:tc>
      </w:tr>
    </w:tbl>
    <w:tbl>
      <w:tblPr>
        <w:tblW w:w="9620" w:type="dxa"/>
        <w:tblInd w:w="20" w:type="dxa"/>
        <w:tblLayout w:type="fixed"/>
        <w:tblLook w:val="04A0" w:firstRow="1" w:lastRow="0" w:firstColumn="1" w:lastColumn="0" w:noHBand="0" w:noVBand="1"/>
      </w:tblPr>
      <w:tblGrid>
        <w:gridCol w:w="9620"/>
      </w:tblGrid>
      <w:tr w:rsidR="002D53E2" w:rsidRPr="00472806" w:rsidTr="0047266E">
        <w:tc>
          <w:tcPr>
            <w:tcW w:w="9620" w:type="dxa"/>
            <w:shd w:val="clear" w:color="666553" w:fill="666553"/>
            <w:tcMar>
              <w:top w:w="40" w:type="dxa"/>
              <w:left w:w="0" w:type="dxa"/>
              <w:bottom w:w="0" w:type="dxa"/>
              <w:right w:w="0" w:type="dxa"/>
            </w:tcMar>
            <w:vAlign w:val="center"/>
          </w:tcPr>
          <w:p w:rsidR="002D53E2" w:rsidRPr="00472806" w:rsidRDefault="00D832BF">
            <w:pPr>
              <w:jc w:val="center"/>
              <w:rPr>
                <w:rFonts w:ascii="Arial" w:eastAsia="Arial" w:hAnsi="Arial" w:cs="Arial"/>
                <w:b/>
                <w:color w:val="FFFFFF"/>
                <w:sz w:val="28"/>
                <w:lang w:val="fr-FR"/>
              </w:rPr>
            </w:pPr>
            <w:r w:rsidRPr="00472806">
              <w:rPr>
                <w:rFonts w:ascii="Arial" w:eastAsia="Arial" w:hAnsi="Arial" w:cs="Arial"/>
                <w:b/>
                <w:color w:val="FFFFFF"/>
                <w:sz w:val="28"/>
                <w:lang w:val="fr-FR"/>
              </w:rPr>
              <w:t>CAHIER DES CLAUSES ADMINISTRATIVES PARTICULIÈRES</w:t>
            </w:r>
          </w:p>
        </w:tc>
      </w:tr>
    </w:tbl>
    <w:p w:rsidR="002D53E2" w:rsidRPr="00472806" w:rsidRDefault="00D832BF">
      <w:pPr>
        <w:spacing w:line="240" w:lineRule="exact"/>
        <w:rPr>
          <w:lang w:val="fr-FR"/>
        </w:rPr>
      </w:pPr>
      <w:r w:rsidRPr="00472806">
        <w:rPr>
          <w:lang w:val="fr-FR"/>
        </w:rPr>
        <w:t xml:space="preserve"> </w:t>
      </w:r>
    </w:p>
    <w:p w:rsidR="002D53E2" w:rsidRPr="00472806" w:rsidRDefault="002D53E2">
      <w:pPr>
        <w:spacing w:after="120" w:line="240" w:lineRule="exact"/>
        <w:rPr>
          <w:lang w:val="fr-FR"/>
        </w:rPr>
      </w:pPr>
    </w:p>
    <w:p w:rsidR="002D53E2" w:rsidRPr="00472806" w:rsidRDefault="00D832BF">
      <w:pPr>
        <w:spacing w:before="40"/>
        <w:ind w:left="20" w:right="20"/>
        <w:jc w:val="center"/>
        <w:rPr>
          <w:rFonts w:ascii="Arial" w:eastAsia="Arial" w:hAnsi="Arial" w:cs="Arial"/>
          <w:b/>
          <w:color w:val="000000"/>
          <w:sz w:val="28"/>
          <w:lang w:val="fr-FR"/>
        </w:rPr>
      </w:pPr>
      <w:r w:rsidRPr="00472806">
        <w:rPr>
          <w:rFonts w:ascii="Arial" w:eastAsia="Arial" w:hAnsi="Arial" w:cs="Arial"/>
          <w:b/>
          <w:color w:val="000000"/>
          <w:sz w:val="28"/>
          <w:lang w:val="fr-FR"/>
        </w:rPr>
        <w:t>MARCHÉ PUBLIC D'ÉTUDES</w:t>
      </w: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2D53E2" w:rsidRPr="00472806">
        <w:tc>
          <w:tcPr>
            <w:tcW w:w="7100" w:type="dxa"/>
            <w:tcBorders>
              <w:top w:val="single" w:sz="4" w:space="0" w:color="000000"/>
              <w:bottom w:val="single" w:sz="4" w:space="0" w:color="000000"/>
            </w:tcBorders>
            <w:tcMar>
              <w:top w:w="400" w:type="dxa"/>
              <w:left w:w="0" w:type="dxa"/>
              <w:bottom w:w="400" w:type="dxa"/>
              <w:right w:w="0" w:type="dxa"/>
            </w:tcMar>
            <w:vAlign w:val="center"/>
          </w:tcPr>
          <w:p w:rsidR="002D53E2" w:rsidRPr="00472806" w:rsidRDefault="00530CAF">
            <w:pPr>
              <w:spacing w:line="322" w:lineRule="exact"/>
              <w:jc w:val="center"/>
              <w:rPr>
                <w:rFonts w:ascii="Arial" w:eastAsia="Arial" w:hAnsi="Arial" w:cs="Arial"/>
                <w:b/>
                <w:color w:val="000000"/>
                <w:sz w:val="28"/>
                <w:lang w:val="fr-FR"/>
              </w:rPr>
            </w:pPr>
            <w:r w:rsidRPr="00472806">
              <w:rPr>
                <w:rFonts w:ascii="Arial" w:eastAsia="Arial" w:hAnsi="Arial" w:cs="Arial"/>
                <w:b/>
                <w:color w:val="000000"/>
                <w:sz w:val="28"/>
                <w:lang w:val="fr-FR"/>
              </w:rPr>
              <w:t>Evaluation de la qualité des établissements et services sociaux et médico-sociaux, sur le secteur des personnes âgées et en situation de handicap, pour les établissements du GHT Territoires d’Auvergne concernés.</w:t>
            </w:r>
          </w:p>
        </w:tc>
      </w:tr>
    </w:tbl>
    <w:p w:rsidR="002D53E2" w:rsidRPr="00472806" w:rsidRDefault="00D832BF">
      <w:pPr>
        <w:spacing w:line="240" w:lineRule="exact"/>
        <w:rPr>
          <w:lang w:val="fr-FR"/>
        </w:rPr>
      </w:pPr>
      <w:r w:rsidRPr="00472806">
        <w:rPr>
          <w:lang w:val="fr-FR"/>
        </w:rPr>
        <w:t xml:space="preserve"> </w:t>
      </w: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line="240" w:lineRule="exact"/>
        <w:rPr>
          <w:lang w:val="fr-FR"/>
        </w:rPr>
      </w:pPr>
    </w:p>
    <w:p w:rsidR="002D53E2" w:rsidRPr="00472806" w:rsidRDefault="002D53E2">
      <w:pPr>
        <w:spacing w:after="20" w:line="240" w:lineRule="exact"/>
        <w:rPr>
          <w:lang w:val="fr-FR"/>
        </w:rPr>
      </w:pPr>
    </w:p>
    <w:p w:rsidR="002D53E2" w:rsidRPr="00472806" w:rsidRDefault="00D832BF">
      <w:pPr>
        <w:spacing w:line="276" w:lineRule="exact"/>
        <w:ind w:left="20" w:right="20"/>
        <w:jc w:val="center"/>
        <w:rPr>
          <w:rFonts w:ascii="Arial" w:eastAsia="Arial" w:hAnsi="Arial" w:cs="Arial"/>
          <w:b/>
          <w:color w:val="000000"/>
          <w:lang w:val="fr-FR"/>
        </w:rPr>
      </w:pPr>
      <w:r w:rsidRPr="00472806">
        <w:rPr>
          <w:rFonts w:ascii="Arial" w:eastAsia="Arial" w:hAnsi="Arial" w:cs="Arial"/>
          <w:b/>
          <w:color w:val="000000"/>
          <w:lang w:val="fr-FR"/>
        </w:rPr>
        <w:t>Groupement Hospitalier des Territoires d'Auvergne</w:t>
      </w:r>
    </w:p>
    <w:p w:rsidR="002D53E2" w:rsidRPr="00472806" w:rsidRDefault="00D832BF">
      <w:pPr>
        <w:spacing w:line="276" w:lineRule="exact"/>
        <w:ind w:left="20" w:right="20"/>
        <w:jc w:val="center"/>
        <w:rPr>
          <w:rFonts w:ascii="Arial" w:eastAsia="Arial" w:hAnsi="Arial" w:cs="Arial"/>
          <w:color w:val="000000"/>
          <w:lang w:val="fr-FR"/>
        </w:rPr>
      </w:pPr>
      <w:r w:rsidRPr="00472806">
        <w:rPr>
          <w:rFonts w:ascii="Arial" w:eastAsia="Arial" w:hAnsi="Arial" w:cs="Arial"/>
          <w:b/>
          <w:color w:val="000000"/>
          <w:lang w:val="fr-FR"/>
        </w:rPr>
        <w:t xml:space="preserve">Etablissement support CHU de Clermont-Ferrand </w:t>
      </w:r>
    </w:p>
    <w:p w:rsidR="002D53E2" w:rsidRPr="00472806" w:rsidRDefault="00D832BF">
      <w:pPr>
        <w:spacing w:line="276" w:lineRule="exact"/>
        <w:ind w:left="20" w:right="20"/>
        <w:jc w:val="center"/>
        <w:rPr>
          <w:rFonts w:ascii="Arial" w:eastAsia="Arial" w:hAnsi="Arial" w:cs="Arial"/>
          <w:color w:val="000000"/>
          <w:lang w:val="fr-FR"/>
        </w:rPr>
      </w:pPr>
      <w:r w:rsidRPr="00472806">
        <w:rPr>
          <w:rFonts w:ascii="Arial" w:eastAsia="Arial" w:hAnsi="Arial" w:cs="Arial"/>
          <w:color w:val="000000"/>
          <w:lang w:val="fr-FR"/>
        </w:rPr>
        <w:t>58 Rue Montalembert</w:t>
      </w:r>
    </w:p>
    <w:p w:rsidR="002D53E2" w:rsidRPr="00472806" w:rsidRDefault="00D832BF">
      <w:pPr>
        <w:spacing w:line="276" w:lineRule="exact"/>
        <w:ind w:left="20" w:right="20"/>
        <w:jc w:val="center"/>
        <w:rPr>
          <w:rFonts w:ascii="Arial" w:eastAsia="Arial" w:hAnsi="Arial" w:cs="Arial"/>
          <w:color w:val="000000"/>
          <w:lang w:val="fr-FR"/>
        </w:rPr>
      </w:pPr>
      <w:r w:rsidRPr="00472806">
        <w:rPr>
          <w:rFonts w:ascii="Arial" w:eastAsia="Arial" w:hAnsi="Arial" w:cs="Arial"/>
          <w:color w:val="000000"/>
          <w:lang w:val="fr-FR"/>
        </w:rPr>
        <w:t>63003 CLERMONT-FERRAND</w:t>
      </w:r>
    </w:p>
    <w:p w:rsidR="002D53E2" w:rsidRPr="00472806" w:rsidRDefault="002D53E2">
      <w:pPr>
        <w:spacing w:line="276" w:lineRule="exact"/>
        <w:ind w:left="20" w:right="20"/>
        <w:jc w:val="center"/>
        <w:rPr>
          <w:rFonts w:ascii="Arial" w:eastAsia="Arial" w:hAnsi="Arial" w:cs="Arial"/>
          <w:color w:val="000000"/>
          <w:lang w:val="fr-FR"/>
        </w:rPr>
        <w:sectPr w:rsidR="002D53E2" w:rsidRPr="00472806">
          <w:pgSz w:w="11900" w:h="16840"/>
          <w:pgMar w:top="1134" w:right="1134" w:bottom="1134" w:left="1134" w:header="1134" w:footer="1134" w:gutter="0"/>
          <w:cols w:space="708"/>
        </w:sectPr>
      </w:pPr>
    </w:p>
    <w:p w:rsidR="002D53E2" w:rsidRPr="00472806" w:rsidRDefault="002D53E2">
      <w:pPr>
        <w:spacing w:line="20" w:lineRule="exact"/>
        <w:rPr>
          <w:sz w:val="2"/>
          <w:lang w:val="fr-FR"/>
        </w:rPr>
      </w:pPr>
    </w:p>
    <w:p w:rsidR="002D53E2" w:rsidRPr="00472806" w:rsidRDefault="00D832BF">
      <w:pPr>
        <w:spacing w:after="120"/>
        <w:ind w:left="20" w:right="20"/>
        <w:jc w:val="center"/>
        <w:rPr>
          <w:rFonts w:ascii="Arial" w:eastAsia="Arial" w:hAnsi="Arial" w:cs="Arial"/>
          <w:b/>
          <w:color w:val="000000"/>
          <w:lang w:val="fr-FR"/>
        </w:rPr>
      </w:pPr>
      <w:r w:rsidRPr="00472806">
        <w:rPr>
          <w:rFonts w:ascii="Arial" w:eastAsia="Arial" w:hAnsi="Arial" w:cs="Arial"/>
          <w:b/>
          <w:color w:val="000000"/>
          <w:lang w:val="fr-FR"/>
        </w:rPr>
        <w:t>SOMMAIRE</w:t>
      </w:r>
    </w:p>
    <w:p w:rsidR="002D53E2" w:rsidRPr="00472806" w:rsidRDefault="002D53E2">
      <w:pPr>
        <w:spacing w:after="80" w:line="240" w:lineRule="exact"/>
        <w:rPr>
          <w:lang w:val="fr-FR"/>
        </w:rPr>
      </w:pP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sz w:val="22"/>
          <w:lang w:val="fr-FR"/>
        </w:rPr>
        <w:fldChar w:fldCharType="begin"/>
      </w:r>
      <w:r w:rsidRPr="00472806">
        <w:rPr>
          <w:rFonts w:ascii="Arial" w:eastAsia="Arial" w:hAnsi="Arial" w:cs="Arial"/>
          <w:color w:val="000000"/>
          <w:sz w:val="22"/>
          <w:lang w:val="fr-FR"/>
        </w:rPr>
        <w:instrText xml:space="preserve"> TOC </w:instrText>
      </w:r>
      <w:r w:rsidRPr="00472806">
        <w:rPr>
          <w:rFonts w:ascii="Arial" w:eastAsia="Arial" w:hAnsi="Arial" w:cs="Arial"/>
          <w:color w:val="000000"/>
          <w:sz w:val="22"/>
          <w:lang w:val="fr-FR"/>
        </w:rPr>
        <w:fldChar w:fldCharType="separate"/>
      </w:r>
      <w:r w:rsidRPr="00472806">
        <w:rPr>
          <w:rFonts w:ascii="Arial" w:eastAsia="Arial" w:hAnsi="Arial" w:cs="Arial"/>
          <w:color w:val="000000"/>
          <w:lang w:val="fr-FR"/>
        </w:rPr>
        <w:t>1 - Dispositions générales du contrat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_Toc256000000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3</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1.1 - Objet du contrat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_Toc256000001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3</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1.2 - Décomposition du contrat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_Toc256000002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3</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2 - Pièces contractuelles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_Toc256000003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4</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3 - Confidentialité et mesures de sécurité</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_Toc256000004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4</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4 - Durée et délais d'exécution</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_Toc256000005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4</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4.1 - Durée globale prévisionnelle des prestations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_Toc256000006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4</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4.2 - Durée du contrat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_Toc256000007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4</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4.3 - Délais d'exécution des tranches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_Toc256000008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4</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5 - Prix</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_Toc256000009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5</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5.1 - Caractéristiques des prix pratiqués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_Toc256000010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5</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5.2 - Modalités de variation des prix</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_Toc256000011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5</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5.3 - Dispositions spécifiques aux tranches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_Toc256000012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6 - Garanties Financières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_Toc256000013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7 - Avance</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_Toc256000014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7.1 - Conditions de versement et de remboursement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_Toc256000015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7.2 - Garanties financières de l'avance</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_Toc256000016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8 - Modalités de règlement des comptes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_Toc256000017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8.1 - Acomptes et paiements partiels définitifs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_Toc256000018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8.2 - Présentation des demandes de paiement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_Toc256000019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6</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8.3 - Délai global de paiement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_Toc256000020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7</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8.4 - Paiement des cotraitants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_Toc256000021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7</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8.5 - Paiement des sous-traitants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_Toc256000022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9 - Conditions d'exécution des prestations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_Toc256000023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9.1 - Présentation des livrables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_Toc256000024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9.2 - Modifications techniques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_Toc256000025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10 - Droit de propriété industrielle et intellectuelle</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_Toc256000026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11 - Constatation de l'exécution des prestations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_Toc256000027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11.1 - Vérifications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_Toc256000028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11.2 - Décision après vérification</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_Toc256000029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8</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12 - Garantie des prestations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_Toc256000030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13 - Pénalités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_Toc256000031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13.1 - Pénalités de retard</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_Toc256000032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14 - Assurances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_Toc256000033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15 - Résiliation du contrat</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_Toc256000034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15.1 - Conditions de résiliation</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_Toc256000035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2"/>
        <w:tabs>
          <w:tab w:val="right" w:leader="dot" w:pos="9622"/>
        </w:tabs>
        <w:rPr>
          <w:rFonts w:ascii="Calibri" w:hAnsi="Calibri"/>
          <w:noProof/>
          <w:sz w:val="22"/>
          <w:lang w:val="fr-FR"/>
        </w:rPr>
      </w:pPr>
      <w:r w:rsidRPr="00472806">
        <w:rPr>
          <w:rFonts w:ascii="Arial" w:eastAsia="Arial" w:hAnsi="Arial" w:cs="Arial"/>
          <w:color w:val="000000"/>
          <w:lang w:val="fr-FR"/>
        </w:rPr>
        <w:t>15.2 - Redressement ou liquidation judiciaire</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_Toc256000036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9</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16 - Règlement des litiges et langues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_Toc256000037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10</w:t>
      </w:r>
      <w:r w:rsidRPr="00472806">
        <w:rPr>
          <w:rFonts w:ascii="Arial" w:eastAsia="Arial" w:hAnsi="Arial" w:cs="Arial"/>
          <w:lang w:val="fr-FR"/>
        </w:rPr>
        <w:fldChar w:fldCharType="end"/>
      </w:r>
    </w:p>
    <w:p w:rsidR="002D53E2" w:rsidRPr="00472806" w:rsidRDefault="00D832BF">
      <w:pPr>
        <w:pStyle w:val="TM1"/>
        <w:tabs>
          <w:tab w:val="right" w:leader="dot" w:pos="9622"/>
        </w:tabs>
        <w:rPr>
          <w:rFonts w:ascii="Calibri" w:hAnsi="Calibri"/>
          <w:noProof/>
          <w:sz w:val="22"/>
          <w:lang w:val="fr-FR"/>
        </w:rPr>
      </w:pPr>
      <w:r w:rsidRPr="00472806">
        <w:rPr>
          <w:rFonts w:ascii="Arial" w:eastAsia="Arial" w:hAnsi="Arial" w:cs="Arial"/>
          <w:color w:val="000000"/>
          <w:lang w:val="fr-FR"/>
        </w:rPr>
        <w:t>17 - Dérogations</w:t>
      </w:r>
      <w:r w:rsidRPr="00472806">
        <w:rPr>
          <w:rFonts w:ascii="Arial" w:eastAsia="Arial" w:hAnsi="Arial" w:cs="Arial"/>
          <w:lang w:val="fr-FR"/>
        </w:rPr>
        <w:tab/>
      </w:r>
      <w:r w:rsidRPr="00472806">
        <w:rPr>
          <w:rFonts w:ascii="Arial" w:eastAsia="Arial" w:hAnsi="Arial" w:cs="Arial"/>
          <w:lang w:val="fr-FR"/>
        </w:rPr>
        <w:fldChar w:fldCharType="begin"/>
      </w:r>
      <w:r w:rsidRPr="00472806">
        <w:rPr>
          <w:rFonts w:ascii="Arial" w:eastAsia="Arial" w:hAnsi="Arial" w:cs="Arial"/>
          <w:lang w:val="fr-FR"/>
        </w:rPr>
        <w:instrText xml:space="preserve"> PAGEREF _Toc256000038 \h </w:instrText>
      </w:r>
      <w:r w:rsidRPr="00472806">
        <w:rPr>
          <w:rFonts w:ascii="Arial" w:eastAsia="Arial" w:hAnsi="Arial" w:cs="Arial"/>
          <w:lang w:val="fr-FR"/>
        </w:rPr>
      </w:r>
      <w:r w:rsidRPr="00472806">
        <w:rPr>
          <w:rFonts w:ascii="Arial" w:eastAsia="Arial" w:hAnsi="Arial" w:cs="Arial"/>
          <w:lang w:val="fr-FR"/>
        </w:rPr>
        <w:fldChar w:fldCharType="separate"/>
      </w:r>
      <w:r w:rsidRPr="00472806">
        <w:rPr>
          <w:rFonts w:ascii="Arial" w:eastAsia="Arial" w:hAnsi="Arial" w:cs="Arial"/>
          <w:lang w:val="fr-FR"/>
        </w:rPr>
        <w:t>10</w:t>
      </w:r>
      <w:r w:rsidRPr="00472806">
        <w:rPr>
          <w:rFonts w:ascii="Arial" w:eastAsia="Arial" w:hAnsi="Arial" w:cs="Arial"/>
          <w:lang w:val="fr-FR"/>
        </w:rPr>
        <w:fldChar w:fldCharType="end"/>
      </w:r>
    </w:p>
    <w:p w:rsidR="002D53E2" w:rsidRPr="00472806" w:rsidRDefault="00D832BF">
      <w:pPr>
        <w:spacing w:after="140"/>
        <w:ind w:left="20" w:right="20"/>
        <w:jc w:val="both"/>
        <w:rPr>
          <w:rFonts w:ascii="Arial" w:eastAsia="Arial" w:hAnsi="Arial" w:cs="Arial"/>
          <w:color w:val="000000"/>
          <w:sz w:val="22"/>
          <w:lang w:val="fr-FR"/>
        </w:rPr>
        <w:sectPr w:rsidR="002D53E2" w:rsidRPr="00472806">
          <w:pgSz w:w="11900" w:h="16840"/>
          <w:pgMar w:top="1134" w:right="1134" w:bottom="1134" w:left="1134" w:header="1134" w:footer="1134" w:gutter="0"/>
          <w:cols w:space="708"/>
        </w:sectPr>
      </w:pPr>
      <w:r w:rsidRPr="00472806">
        <w:rPr>
          <w:rFonts w:ascii="Arial" w:eastAsia="Arial" w:hAnsi="Arial" w:cs="Arial"/>
          <w:color w:val="000000"/>
          <w:sz w:val="22"/>
          <w:lang w:val="fr-FR"/>
        </w:rPr>
        <w:fldChar w:fldCharType="end"/>
      </w:r>
    </w:p>
    <w:p w:rsidR="002D53E2" w:rsidRPr="00472806" w:rsidRDefault="002D53E2">
      <w:pPr>
        <w:spacing w:line="20" w:lineRule="exact"/>
        <w:rPr>
          <w:sz w:val="2"/>
          <w:lang w:val="fr-FR"/>
        </w:rPr>
      </w:pPr>
    </w:p>
    <w:p w:rsidR="002D53E2" w:rsidRPr="00472806" w:rsidRDefault="00D832BF">
      <w:pPr>
        <w:pStyle w:val="Titre1"/>
        <w:rPr>
          <w:rFonts w:eastAsia="Arial"/>
          <w:color w:val="000000"/>
          <w:sz w:val="28"/>
          <w:lang w:val="fr-FR"/>
        </w:rPr>
      </w:pPr>
      <w:bookmarkStart w:id="0" w:name="_Toc256000000"/>
      <w:r w:rsidRPr="00472806">
        <w:rPr>
          <w:rFonts w:eastAsia="Arial"/>
          <w:color w:val="000000"/>
          <w:sz w:val="28"/>
          <w:lang w:val="fr-FR"/>
        </w:rPr>
        <w:t>1 - Dispositions générales du contrat</w:t>
      </w:r>
      <w:bookmarkEnd w:id="0"/>
    </w:p>
    <w:p w:rsidR="002D53E2" w:rsidRPr="00472806" w:rsidRDefault="00D832BF">
      <w:pPr>
        <w:pStyle w:val="Titre2"/>
        <w:ind w:left="300" w:right="20"/>
        <w:jc w:val="both"/>
        <w:rPr>
          <w:rFonts w:eastAsia="Arial"/>
          <w:i w:val="0"/>
          <w:color w:val="000000"/>
          <w:sz w:val="24"/>
          <w:lang w:val="fr-FR"/>
        </w:rPr>
      </w:pPr>
      <w:bookmarkStart w:id="1" w:name="_Toc256000001"/>
      <w:r w:rsidRPr="00472806">
        <w:rPr>
          <w:rFonts w:eastAsia="Arial"/>
          <w:i w:val="0"/>
          <w:color w:val="000000"/>
          <w:sz w:val="24"/>
          <w:lang w:val="fr-FR"/>
        </w:rPr>
        <w:t>1.1 - Objet du contrat</w:t>
      </w:r>
      <w:bookmarkEnd w:id="1"/>
    </w:p>
    <w:p w:rsidR="00530CAF" w:rsidRPr="00472806" w:rsidRDefault="00530CAF" w:rsidP="00530CAF">
      <w:pPr>
        <w:pStyle w:val="ParagrapheIndent2"/>
        <w:spacing w:line="253" w:lineRule="exact"/>
        <w:ind w:left="20" w:right="20"/>
        <w:jc w:val="both"/>
        <w:rPr>
          <w:color w:val="000000"/>
          <w:lang w:val="fr-FR"/>
        </w:rPr>
      </w:pPr>
      <w:r w:rsidRPr="00472806">
        <w:rPr>
          <w:color w:val="000000"/>
          <w:lang w:val="fr-FR"/>
        </w:rPr>
        <w:t>La présente consultation concerne :</w:t>
      </w:r>
    </w:p>
    <w:p w:rsidR="00530CAF" w:rsidRPr="00472806" w:rsidRDefault="00530CAF" w:rsidP="00530CAF">
      <w:pPr>
        <w:pStyle w:val="ParagrapheIndent2"/>
        <w:spacing w:after="240" w:line="253" w:lineRule="exact"/>
        <w:ind w:left="20" w:right="20"/>
        <w:jc w:val="both"/>
        <w:rPr>
          <w:color w:val="000000"/>
          <w:lang w:val="fr-FR"/>
        </w:rPr>
      </w:pPr>
      <w:r w:rsidRPr="00472806">
        <w:rPr>
          <w:color w:val="000000"/>
          <w:lang w:val="fr-FR"/>
        </w:rPr>
        <w:t>Evaluation de la qualité des établissements et services sociaux et médico-sociaux, sur le secteur des personnes âgées et en situation de handicap, pour les établissements du GHT Territoires d’Auvergne concernés.</w:t>
      </w:r>
    </w:p>
    <w:p w:rsidR="00530CAF" w:rsidRPr="00472806" w:rsidRDefault="00530CAF" w:rsidP="00530CAF">
      <w:pPr>
        <w:pStyle w:val="ParagrapheIndent2"/>
        <w:spacing w:line="253" w:lineRule="exact"/>
        <w:ind w:left="20" w:right="20"/>
        <w:jc w:val="both"/>
        <w:rPr>
          <w:color w:val="000000"/>
          <w:lang w:val="fr-FR"/>
        </w:rPr>
      </w:pPr>
      <w:r w:rsidRPr="00472806">
        <w:rPr>
          <w:color w:val="000000"/>
          <w:lang w:val="fr-FR"/>
        </w:rPr>
        <w:t>Lieu(x) d'exécution :</w:t>
      </w:r>
      <w:r w:rsidRPr="00472806">
        <w:rPr>
          <w:lang w:val="fr-FR"/>
        </w:rPr>
        <w:t xml:space="preserve"> Voir </w:t>
      </w:r>
      <w:r w:rsidRPr="00472806">
        <w:rPr>
          <w:color w:val="000000"/>
          <w:lang w:val="fr-FR"/>
        </w:rPr>
        <w:t>ANNEXE 1 AU C.C.A.P intitulée « Etablissements et Ordonnateurs du GHT TERRITOIRES D’AUVERGNE »</w:t>
      </w:r>
    </w:p>
    <w:p w:rsidR="00530CAF" w:rsidRPr="00472806" w:rsidRDefault="00530CAF" w:rsidP="00530CAF">
      <w:pPr>
        <w:pStyle w:val="ParagrapheIndent2"/>
        <w:spacing w:line="253" w:lineRule="exact"/>
        <w:ind w:right="20"/>
        <w:jc w:val="both"/>
        <w:rPr>
          <w:color w:val="000000"/>
          <w:lang w:val="fr-FR"/>
        </w:rPr>
      </w:pPr>
    </w:p>
    <w:p w:rsidR="001A6F88" w:rsidRPr="00472806" w:rsidRDefault="00530CAF" w:rsidP="00530CAF">
      <w:pPr>
        <w:pStyle w:val="ParagrapheIndent2"/>
        <w:spacing w:line="253" w:lineRule="exact"/>
        <w:ind w:left="20" w:right="20"/>
        <w:jc w:val="both"/>
        <w:rPr>
          <w:color w:val="000000"/>
          <w:lang w:val="fr-FR"/>
        </w:rPr>
      </w:pPr>
      <w:r w:rsidRPr="00472806">
        <w:rPr>
          <w:color w:val="000000"/>
          <w:lang w:val="fr-FR"/>
        </w:rPr>
        <w:t>Cette consultation est lancée par un groupement d'acheteurs constitué sous la forme suivante : groupement Hospitalier de Territoire (GHT) dont l’établissement support est le CHU de Clermont Ferrand chargé de la passation des marchés, chaque établissement étant chargé de l’exécution du marché qui le concerne.</w:t>
      </w:r>
    </w:p>
    <w:p w:rsidR="001A6F88" w:rsidRPr="00472806" w:rsidRDefault="001A6F88" w:rsidP="001A6F88">
      <w:pPr>
        <w:rPr>
          <w:lang w:val="fr-FR"/>
        </w:rPr>
      </w:pPr>
    </w:p>
    <w:p w:rsidR="002D53E2" w:rsidRPr="00472806" w:rsidRDefault="00D832BF">
      <w:pPr>
        <w:pStyle w:val="Titre2"/>
        <w:ind w:left="300" w:right="20"/>
        <w:jc w:val="both"/>
        <w:rPr>
          <w:rFonts w:eastAsia="Arial"/>
          <w:i w:val="0"/>
          <w:color w:val="000000"/>
          <w:sz w:val="24"/>
          <w:lang w:val="fr-FR"/>
        </w:rPr>
      </w:pPr>
      <w:bookmarkStart w:id="2" w:name="_Toc256000002"/>
      <w:r w:rsidRPr="00472806">
        <w:rPr>
          <w:rFonts w:eastAsia="Arial"/>
          <w:i w:val="0"/>
          <w:color w:val="000000"/>
          <w:sz w:val="24"/>
          <w:lang w:val="fr-FR"/>
        </w:rPr>
        <w:t>1.2 - Décomposition du contrat</w:t>
      </w:r>
      <w:bookmarkEnd w:id="2"/>
    </w:p>
    <w:p w:rsidR="00530CAF" w:rsidRPr="00472806" w:rsidRDefault="00530CAF" w:rsidP="00530CAF">
      <w:pPr>
        <w:pStyle w:val="ParagrapheIndent2"/>
        <w:spacing w:line="253" w:lineRule="exact"/>
        <w:ind w:left="20" w:right="20"/>
        <w:jc w:val="both"/>
        <w:rPr>
          <w:color w:val="000000"/>
          <w:lang w:val="fr-FR"/>
        </w:rPr>
      </w:pPr>
      <w:r w:rsidRPr="00472806">
        <w:rPr>
          <w:color w:val="000000"/>
          <w:lang w:val="fr-FR"/>
        </w:rPr>
        <w:t>Les prestations sont divisées e</w:t>
      </w:r>
      <w:r w:rsidR="00472806" w:rsidRPr="00472806">
        <w:rPr>
          <w:color w:val="000000"/>
          <w:lang w:val="fr-FR"/>
        </w:rPr>
        <w:t>n 3</w:t>
      </w:r>
      <w:r w:rsidRPr="00472806">
        <w:rPr>
          <w:color w:val="000000"/>
          <w:lang w:val="fr-FR"/>
        </w:rPr>
        <w:t xml:space="preserve"> lots :</w:t>
      </w:r>
    </w:p>
    <w:p w:rsidR="00530CAF" w:rsidRPr="00472806" w:rsidRDefault="00530CAF" w:rsidP="00530CAF">
      <w:pPr>
        <w:spacing w:after="80" w:line="240" w:lineRule="exact"/>
        <w:rPr>
          <w:lang w:val="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0"/>
        <w:gridCol w:w="6416"/>
      </w:tblGrid>
      <w:tr w:rsidR="00472806" w:rsidRPr="00472806" w:rsidTr="00786EE5">
        <w:trPr>
          <w:trHeight w:val="340"/>
        </w:trPr>
        <w:tc>
          <w:tcPr>
            <w:tcW w:w="4040" w:type="dxa"/>
            <w:shd w:val="clear" w:color="auto" w:fill="F2F2F2"/>
          </w:tcPr>
          <w:p w:rsidR="00472806" w:rsidRPr="00472806" w:rsidRDefault="00472806" w:rsidP="00786EE5">
            <w:p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Lots</w:t>
            </w:r>
          </w:p>
        </w:tc>
        <w:tc>
          <w:tcPr>
            <w:tcW w:w="6416" w:type="dxa"/>
            <w:shd w:val="clear" w:color="auto" w:fill="F2F2F2"/>
          </w:tcPr>
          <w:p w:rsidR="00472806" w:rsidRPr="00472806" w:rsidRDefault="00472806" w:rsidP="00786EE5">
            <w:p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Nom établissement</w:t>
            </w:r>
          </w:p>
        </w:tc>
      </w:tr>
      <w:tr w:rsidR="00472806" w:rsidRPr="00472806" w:rsidTr="00786EE5">
        <w:trPr>
          <w:trHeight w:val="1042"/>
        </w:trPr>
        <w:tc>
          <w:tcPr>
            <w:tcW w:w="4040" w:type="dxa"/>
            <w:shd w:val="clear" w:color="auto" w:fill="auto"/>
          </w:tcPr>
          <w:p w:rsidR="00472806" w:rsidRPr="00472806" w:rsidRDefault="00472806" w:rsidP="00786EE5">
            <w:pPr>
              <w:spacing w:before="100" w:beforeAutospacing="1" w:after="100" w:afterAutospacing="1"/>
              <w:rPr>
                <w:rFonts w:ascii="Arial" w:eastAsia="Calibri" w:hAnsi="Arial" w:cs="Arial"/>
                <w:bCs/>
                <w:sz w:val="22"/>
                <w:szCs w:val="22"/>
                <w:lang w:val="fr-FR"/>
              </w:rPr>
            </w:pPr>
          </w:p>
          <w:p w:rsidR="00472806" w:rsidRPr="00472806" w:rsidRDefault="00472806" w:rsidP="00786EE5">
            <w:pPr>
              <w:spacing w:before="100" w:beforeAutospacing="1" w:after="100" w:afterAutospacing="1"/>
              <w:jc w:val="center"/>
              <w:rPr>
                <w:rFonts w:ascii="Arial" w:eastAsia="Calibri" w:hAnsi="Arial" w:cs="Arial"/>
                <w:bCs/>
                <w:sz w:val="22"/>
                <w:szCs w:val="22"/>
                <w:lang w:val="fr-FR"/>
              </w:rPr>
            </w:pPr>
            <w:r w:rsidRPr="00472806">
              <w:rPr>
                <w:rFonts w:ascii="Arial" w:eastAsia="Calibri" w:hAnsi="Arial" w:cs="Arial"/>
                <w:bCs/>
                <w:sz w:val="22"/>
                <w:szCs w:val="22"/>
                <w:lang w:val="fr-FR"/>
              </w:rPr>
              <w:t>1</w:t>
            </w:r>
          </w:p>
        </w:tc>
        <w:tc>
          <w:tcPr>
            <w:tcW w:w="6416" w:type="dxa"/>
            <w:shd w:val="clear" w:color="auto" w:fill="auto"/>
          </w:tcPr>
          <w:p w:rsidR="00472806" w:rsidRPr="00472806" w:rsidRDefault="00472806" w:rsidP="00786EE5">
            <w:pPr>
              <w:numPr>
                <w:ilvl w:val="0"/>
                <w:numId w:val="2"/>
              </w:num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 xml:space="preserve">CH MONT DORE </w:t>
            </w:r>
            <w:r w:rsidRPr="00472806">
              <w:rPr>
                <w:rFonts w:ascii="Arial" w:eastAsia="Calibri" w:hAnsi="Arial" w:cs="Arial"/>
                <w:b/>
                <w:bCs/>
                <w:color w:val="000000"/>
                <w:sz w:val="22"/>
                <w:szCs w:val="22"/>
                <w:lang w:val="fr-FR"/>
              </w:rPr>
              <w:t xml:space="preserve">EHPAD </w:t>
            </w:r>
            <w:r w:rsidRPr="00472806">
              <w:rPr>
                <w:rFonts w:ascii="Arial" w:eastAsia="Calibri" w:hAnsi="Arial" w:cs="Arial"/>
                <w:bCs/>
                <w:color w:val="000000"/>
                <w:sz w:val="22"/>
                <w:szCs w:val="22"/>
                <w:lang w:val="fr-FR"/>
              </w:rPr>
              <w:t>« Saint Paul »</w:t>
            </w:r>
          </w:p>
          <w:p w:rsidR="00472806" w:rsidRPr="00472806" w:rsidRDefault="00472806" w:rsidP="00786EE5">
            <w:pPr>
              <w:numPr>
                <w:ilvl w:val="0"/>
                <w:numId w:val="2"/>
              </w:num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CH CŒUR DU BOURBONNAIS</w:t>
            </w:r>
            <w:r w:rsidRPr="00472806">
              <w:rPr>
                <w:rFonts w:ascii="Arial" w:eastAsia="Calibri" w:hAnsi="Arial" w:cs="Arial"/>
                <w:b/>
                <w:bCs/>
                <w:sz w:val="22"/>
                <w:szCs w:val="22"/>
                <w:lang w:val="fr-FR"/>
              </w:rPr>
              <w:t xml:space="preserve"> EHPAD</w:t>
            </w:r>
          </w:p>
        </w:tc>
      </w:tr>
      <w:tr w:rsidR="00472806" w:rsidRPr="00472806" w:rsidTr="00786EE5">
        <w:trPr>
          <w:trHeight w:val="406"/>
        </w:trPr>
        <w:tc>
          <w:tcPr>
            <w:tcW w:w="4040" w:type="dxa"/>
            <w:shd w:val="clear" w:color="auto" w:fill="auto"/>
          </w:tcPr>
          <w:p w:rsidR="00472806" w:rsidRPr="00472806" w:rsidRDefault="00472806" w:rsidP="00786EE5">
            <w:pPr>
              <w:spacing w:before="100" w:beforeAutospacing="1" w:after="100" w:afterAutospacing="1"/>
              <w:jc w:val="center"/>
              <w:rPr>
                <w:rFonts w:ascii="Arial" w:eastAsia="Calibri" w:hAnsi="Arial" w:cs="Arial"/>
                <w:bCs/>
                <w:sz w:val="22"/>
                <w:szCs w:val="22"/>
                <w:lang w:val="fr-FR"/>
              </w:rPr>
            </w:pPr>
            <w:r w:rsidRPr="00472806">
              <w:rPr>
                <w:rFonts w:ascii="Arial" w:eastAsia="Calibri" w:hAnsi="Arial" w:cs="Arial"/>
                <w:bCs/>
                <w:sz w:val="22"/>
                <w:szCs w:val="22"/>
                <w:lang w:val="fr-FR"/>
              </w:rPr>
              <w:t>2</w:t>
            </w:r>
          </w:p>
        </w:tc>
        <w:tc>
          <w:tcPr>
            <w:tcW w:w="6416" w:type="dxa"/>
            <w:shd w:val="clear" w:color="auto" w:fill="auto"/>
          </w:tcPr>
          <w:p w:rsidR="00472806" w:rsidRPr="00472806" w:rsidRDefault="00472806" w:rsidP="00786EE5">
            <w:pPr>
              <w:numPr>
                <w:ilvl w:val="0"/>
                <w:numId w:val="4"/>
              </w:num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 xml:space="preserve">CH BILLOM </w:t>
            </w:r>
            <w:r w:rsidRPr="00472806">
              <w:rPr>
                <w:rFonts w:ascii="Arial" w:eastAsia="Calibri" w:hAnsi="Arial" w:cs="Arial"/>
                <w:b/>
                <w:bCs/>
                <w:sz w:val="22"/>
                <w:szCs w:val="22"/>
                <w:lang w:val="fr-FR"/>
              </w:rPr>
              <w:t>MAS</w:t>
            </w:r>
            <w:r w:rsidRPr="00472806">
              <w:rPr>
                <w:rFonts w:ascii="Arial" w:eastAsia="Calibri" w:hAnsi="Arial" w:cs="Arial"/>
                <w:bCs/>
                <w:sz w:val="22"/>
                <w:szCs w:val="22"/>
                <w:lang w:val="fr-FR"/>
              </w:rPr>
              <w:t xml:space="preserve"> « Les biches »</w:t>
            </w:r>
          </w:p>
        </w:tc>
      </w:tr>
      <w:tr w:rsidR="00472806" w:rsidRPr="00472806" w:rsidTr="00786EE5">
        <w:tc>
          <w:tcPr>
            <w:tcW w:w="4040" w:type="dxa"/>
            <w:shd w:val="clear" w:color="auto" w:fill="auto"/>
          </w:tcPr>
          <w:p w:rsidR="00472806" w:rsidRPr="00472806" w:rsidRDefault="00472806" w:rsidP="00786EE5">
            <w:pPr>
              <w:spacing w:before="100" w:beforeAutospacing="1" w:after="100" w:afterAutospacing="1"/>
              <w:rPr>
                <w:rFonts w:ascii="Arial" w:eastAsia="Calibri" w:hAnsi="Arial" w:cs="Arial"/>
                <w:bCs/>
                <w:sz w:val="22"/>
                <w:szCs w:val="22"/>
                <w:lang w:val="fr-FR"/>
              </w:rPr>
            </w:pPr>
          </w:p>
          <w:p w:rsidR="00472806" w:rsidRPr="00472806" w:rsidRDefault="00472806" w:rsidP="00786EE5">
            <w:pPr>
              <w:spacing w:before="100" w:beforeAutospacing="1" w:after="100" w:afterAutospacing="1"/>
              <w:jc w:val="center"/>
              <w:rPr>
                <w:rFonts w:ascii="Arial" w:eastAsia="Calibri" w:hAnsi="Arial" w:cs="Arial"/>
                <w:bCs/>
                <w:sz w:val="22"/>
                <w:szCs w:val="22"/>
                <w:lang w:val="fr-FR"/>
              </w:rPr>
            </w:pPr>
            <w:r w:rsidRPr="00472806">
              <w:rPr>
                <w:rFonts w:ascii="Arial" w:eastAsia="Calibri" w:hAnsi="Arial" w:cs="Arial"/>
                <w:bCs/>
                <w:sz w:val="22"/>
                <w:szCs w:val="22"/>
                <w:lang w:val="fr-FR"/>
              </w:rPr>
              <w:t>3</w:t>
            </w:r>
          </w:p>
        </w:tc>
        <w:tc>
          <w:tcPr>
            <w:tcW w:w="6416" w:type="dxa"/>
            <w:shd w:val="clear" w:color="auto" w:fill="auto"/>
          </w:tcPr>
          <w:p w:rsidR="00472806" w:rsidRPr="00472806" w:rsidRDefault="00472806" w:rsidP="00786EE5">
            <w:pPr>
              <w:numPr>
                <w:ilvl w:val="0"/>
                <w:numId w:val="3"/>
              </w:num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 xml:space="preserve">CH MONTLUCON NERIS-LES-BAINS </w:t>
            </w:r>
            <w:r w:rsidRPr="00472806">
              <w:rPr>
                <w:rFonts w:ascii="Arial" w:eastAsia="Calibri" w:hAnsi="Arial" w:cs="Arial"/>
                <w:b/>
                <w:bCs/>
                <w:sz w:val="22"/>
                <w:szCs w:val="22"/>
                <w:lang w:val="fr-FR"/>
              </w:rPr>
              <w:t>CAMPS</w:t>
            </w:r>
          </w:p>
          <w:p w:rsidR="00472806" w:rsidRPr="00472806" w:rsidRDefault="00472806" w:rsidP="00786EE5">
            <w:pPr>
              <w:numPr>
                <w:ilvl w:val="0"/>
                <w:numId w:val="3"/>
              </w:num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 xml:space="preserve">CH VICHY </w:t>
            </w:r>
            <w:r w:rsidRPr="00472806">
              <w:rPr>
                <w:rFonts w:ascii="Arial" w:eastAsia="Calibri" w:hAnsi="Arial" w:cs="Arial"/>
                <w:b/>
                <w:bCs/>
                <w:sz w:val="22"/>
                <w:szCs w:val="22"/>
                <w:lang w:val="fr-FR"/>
              </w:rPr>
              <w:t>CAMPS</w:t>
            </w:r>
          </w:p>
          <w:p w:rsidR="00472806" w:rsidRPr="00472806" w:rsidRDefault="00472806" w:rsidP="00786EE5">
            <w:pPr>
              <w:numPr>
                <w:ilvl w:val="0"/>
                <w:numId w:val="3"/>
              </w:numPr>
              <w:spacing w:before="100" w:beforeAutospacing="1" w:after="100" w:afterAutospacing="1"/>
              <w:rPr>
                <w:rFonts w:ascii="Arial" w:eastAsia="Calibri" w:hAnsi="Arial" w:cs="Arial"/>
                <w:bCs/>
                <w:sz w:val="22"/>
                <w:szCs w:val="22"/>
                <w:lang w:val="fr-FR"/>
              </w:rPr>
            </w:pPr>
            <w:r w:rsidRPr="00472806">
              <w:rPr>
                <w:rFonts w:ascii="Arial" w:eastAsia="Calibri" w:hAnsi="Arial" w:cs="Arial"/>
                <w:bCs/>
                <w:sz w:val="22"/>
                <w:szCs w:val="22"/>
                <w:lang w:val="fr-FR"/>
              </w:rPr>
              <w:t xml:space="preserve">CH MOULINS YZEURE </w:t>
            </w:r>
            <w:r w:rsidRPr="00472806">
              <w:rPr>
                <w:rFonts w:ascii="Arial" w:eastAsia="Calibri" w:hAnsi="Arial" w:cs="Arial"/>
                <w:b/>
                <w:bCs/>
                <w:sz w:val="22"/>
                <w:szCs w:val="22"/>
                <w:lang w:val="fr-FR"/>
              </w:rPr>
              <w:t>CAMPS</w:t>
            </w:r>
          </w:p>
        </w:tc>
      </w:tr>
    </w:tbl>
    <w:p w:rsidR="00472806" w:rsidRPr="00472806" w:rsidRDefault="00472806" w:rsidP="00530CAF">
      <w:pPr>
        <w:spacing w:after="80" w:line="240" w:lineRule="exact"/>
        <w:rPr>
          <w:lang w:val="fr-FR"/>
        </w:rPr>
      </w:pPr>
    </w:p>
    <w:p w:rsidR="002D53E2" w:rsidRPr="00472806" w:rsidRDefault="002D53E2">
      <w:pPr>
        <w:spacing w:line="20" w:lineRule="exact"/>
        <w:rPr>
          <w:sz w:val="2"/>
          <w:lang w:val="fr-FR"/>
        </w:rPr>
      </w:pPr>
    </w:p>
    <w:p w:rsidR="002D53E2" w:rsidRPr="00472806" w:rsidRDefault="00D832BF">
      <w:pPr>
        <w:pStyle w:val="Titre1"/>
        <w:rPr>
          <w:rFonts w:eastAsia="Arial"/>
          <w:color w:val="000000"/>
          <w:sz w:val="28"/>
          <w:lang w:val="fr-FR"/>
        </w:rPr>
      </w:pPr>
      <w:bookmarkStart w:id="3" w:name="_Toc256000003"/>
      <w:r w:rsidRPr="00472806">
        <w:rPr>
          <w:rFonts w:eastAsia="Arial"/>
          <w:color w:val="000000"/>
          <w:sz w:val="28"/>
          <w:lang w:val="fr-FR"/>
        </w:rPr>
        <w:t>2 - Pièces contractuelles</w:t>
      </w:r>
      <w:bookmarkEnd w:id="3"/>
    </w:p>
    <w:p w:rsidR="002D53E2" w:rsidRPr="00472806" w:rsidRDefault="00D832BF">
      <w:pPr>
        <w:pStyle w:val="ParagrapheIndent1"/>
        <w:spacing w:line="253" w:lineRule="exact"/>
        <w:ind w:left="20" w:right="20"/>
        <w:jc w:val="both"/>
        <w:rPr>
          <w:color w:val="000000"/>
          <w:lang w:val="fr-FR"/>
        </w:rPr>
      </w:pPr>
      <w:r w:rsidRPr="00472806">
        <w:rPr>
          <w:color w:val="000000"/>
          <w:lang w:val="fr-FR"/>
        </w:rPr>
        <w:t>Les pièces contractuelles du marché sont les suivantes et, en cas de contradiction entre leurs stipulations, prévalent dans cet ordre de priorité :</w:t>
      </w:r>
    </w:p>
    <w:p w:rsidR="00322F59" w:rsidRPr="00472806" w:rsidRDefault="00322F59" w:rsidP="00322F59">
      <w:pPr>
        <w:pStyle w:val="ParagrapheIndent1"/>
        <w:spacing w:line="253" w:lineRule="exact"/>
        <w:ind w:left="20" w:right="20"/>
        <w:jc w:val="both"/>
        <w:rPr>
          <w:color w:val="000000"/>
          <w:lang w:val="fr-FR"/>
        </w:rPr>
      </w:pPr>
      <w:r w:rsidRPr="00472806">
        <w:rPr>
          <w:color w:val="000000"/>
          <w:lang w:val="fr-FR"/>
        </w:rPr>
        <w:t>- L'acte d'engagement (AE) et ses annexes</w:t>
      </w:r>
    </w:p>
    <w:p w:rsidR="00322F59" w:rsidRPr="00472806" w:rsidRDefault="00322F59" w:rsidP="00322F59">
      <w:pPr>
        <w:pStyle w:val="ParagrapheIndent1"/>
        <w:spacing w:line="253" w:lineRule="exact"/>
        <w:ind w:left="20" w:right="20"/>
        <w:jc w:val="both"/>
        <w:rPr>
          <w:color w:val="000000"/>
          <w:lang w:val="fr-FR"/>
        </w:rPr>
      </w:pPr>
      <w:r w:rsidRPr="00472806">
        <w:rPr>
          <w:color w:val="000000"/>
          <w:lang w:val="fr-FR"/>
        </w:rPr>
        <w:t>- Le cahier des clauses administratives particulières (CCAP) et ses annexes</w:t>
      </w:r>
    </w:p>
    <w:p w:rsidR="00322F59" w:rsidRPr="00472806" w:rsidRDefault="00322F59" w:rsidP="00322F59">
      <w:pPr>
        <w:pStyle w:val="ParagrapheIndent1"/>
        <w:spacing w:line="253" w:lineRule="exact"/>
        <w:ind w:left="20" w:right="20"/>
        <w:jc w:val="both"/>
        <w:rPr>
          <w:color w:val="000000"/>
          <w:lang w:val="fr-FR"/>
        </w:rPr>
      </w:pPr>
      <w:r w:rsidRPr="00472806">
        <w:rPr>
          <w:color w:val="000000"/>
          <w:lang w:val="fr-FR"/>
        </w:rPr>
        <w:t>- Le cahier des clauses techniques particulières (CCTP) et ses annexes</w:t>
      </w:r>
    </w:p>
    <w:p w:rsidR="00322F59" w:rsidRPr="00472806" w:rsidRDefault="00322F59" w:rsidP="00322F59">
      <w:pPr>
        <w:pStyle w:val="ParagrapheIndent1"/>
        <w:spacing w:line="253" w:lineRule="exact"/>
        <w:ind w:left="20" w:right="20"/>
        <w:jc w:val="both"/>
        <w:rPr>
          <w:color w:val="000000"/>
          <w:lang w:val="fr-FR"/>
        </w:rPr>
      </w:pPr>
      <w:r w:rsidRPr="00472806">
        <w:rPr>
          <w:color w:val="000000"/>
          <w:lang w:val="fr-FR"/>
        </w:rPr>
        <w:t xml:space="preserve">- La décomposition du prix global forfaitaire (DPGF) </w:t>
      </w:r>
    </w:p>
    <w:p w:rsidR="00322F59" w:rsidRPr="00472806" w:rsidRDefault="00322F59" w:rsidP="00322F59">
      <w:pPr>
        <w:rPr>
          <w:rFonts w:ascii="Arial" w:hAnsi="Arial" w:cs="Arial"/>
          <w:sz w:val="22"/>
          <w:szCs w:val="22"/>
          <w:lang w:val="fr-FR"/>
        </w:rPr>
      </w:pPr>
      <w:r w:rsidRPr="00472806">
        <w:rPr>
          <w:rFonts w:ascii="Arial" w:hAnsi="Arial" w:cs="Arial"/>
          <w:sz w:val="22"/>
          <w:szCs w:val="22"/>
          <w:lang w:val="fr-FR"/>
        </w:rPr>
        <w:t>- Le dossier de présentation des 7 structures</w:t>
      </w:r>
    </w:p>
    <w:p w:rsidR="00322F59" w:rsidRPr="00472806" w:rsidRDefault="00322F59" w:rsidP="00322F59">
      <w:pPr>
        <w:rPr>
          <w:rFonts w:ascii="Arial" w:hAnsi="Arial" w:cs="Arial"/>
          <w:sz w:val="22"/>
          <w:szCs w:val="22"/>
          <w:lang w:val="fr-FR"/>
        </w:rPr>
      </w:pPr>
      <w:r w:rsidRPr="00472806">
        <w:rPr>
          <w:rFonts w:ascii="Arial" w:hAnsi="Arial" w:cs="Arial"/>
          <w:sz w:val="22"/>
          <w:szCs w:val="22"/>
          <w:lang w:val="fr-FR"/>
        </w:rPr>
        <w:t>- Renseignement contact GHT Evaluation ESSMS</w:t>
      </w:r>
    </w:p>
    <w:p w:rsidR="002D53E2" w:rsidRPr="00472806" w:rsidRDefault="00D832BF">
      <w:pPr>
        <w:pStyle w:val="ParagrapheIndent1"/>
        <w:spacing w:line="253" w:lineRule="exact"/>
        <w:ind w:left="20" w:right="20"/>
        <w:jc w:val="both"/>
        <w:rPr>
          <w:color w:val="000000"/>
          <w:lang w:val="fr-FR"/>
        </w:rPr>
      </w:pPr>
      <w:r w:rsidRPr="00472806">
        <w:rPr>
          <w:color w:val="000000"/>
          <w:lang w:val="fr-FR"/>
        </w:rPr>
        <w:t xml:space="preserve">- Le cahier des clauses administratives générales (CCAG) applicables aux marchés publics de prestations intellectuelles, approuvé par l'arrêté du </w:t>
      </w:r>
      <w:r w:rsidR="00322F59" w:rsidRPr="00472806">
        <w:rPr>
          <w:color w:val="000000"/>
          <w:lang w:val="fr-FR"/>
        </w:rPr>
        <w:t>30 mars 2021</w:t>
      </w:r>
    </w:p>
    <w:p w:rsidR="002D53E2" w:rsidRPr="00472806" w:rsidRDefault="00322F59">
      <w:pPr>
        <w:pStyle w:val="ParagrapheIndent1"/>
        <w:spacing w:after="240" w:line="253" w:lineRule="exact"/>
        <w:ind w:left="20" w:right="20"/>
        <w:jc w:val="both"/>
        <w:rPr>
          <w:color w:val="000000"/>
          <w:lang w:val="fr-FR"/>
        </w:rPr>
      </w:pPr>
      <w:r w:rsidRPr="00472806">
        <w:rPr>
          <w:color w:val="000000"/>
          <w:lang w:val="fr-FR"/>
        </w:rPr>
        <w:t xml:space="preserve">- Le Cadre Mémoire technique évaluation ESSMS dûment complété accompagné des pièces, y compris les CV, montrant les </w:t>
      </w:r>
      <w:r w:rsidR="00D832BF" w:rsidRPr="00472806">
        <w:rPr>
          <w:color w:val="000000"/>
          <w:lang w:val="fr-FR"/>
        </w:rPr>
        <w:t>dispositions prévues par le titulaire pour l'exécution du contrat</w:t>
      </w:r>
      <w:r w:rsidR="00046EA3" w:rsidRPr="00472806">
        <w:rPr>
          <w:color w:val="000000"/>
          <w:lang w:val="fr-FR"/>
        </w:rPr>
        <w:t xml:space="preserve"> ainsi que le </w:t>
      </w:r>
      <w:proofErr w:type="spellStart"/>
      <w:r w:rsidR="00046EA3" w:rsidRPr="00472806">
        <w:rPr>
          <w:color w:val="000000"/>
          <w:lang w:val="fr-FR"/>
        </w:rPr>
        <w:t>retro</w:t>
      </w:r>
      <w:proofErr w:type="spellEnd"/>
      <w:r w:rsidR="00046EA3" w:rsidRPr="00472806">
        <w:rPr>
          <w:color w:val="000000"/>
          <w:lang w:val="fr-FR"/>
        </w:rPr>
        <w:t>-planning des différentes tâches à effectuer afin de respecter les délais indiqués à l’article 4.1.</w:t>
      </w:r>
    </w:p>
    <w:p w:rsidR="002D53E2" w:rsidRPr="00472806" w:rsidRDefault="00D832BF">
      <w:pPr>
        <w:pStyle w:val="Titre1"/>
        <w:rPr>
          <w:rFonts w:eastAsia="Arial"/>
          <w:color w:val="000000"/>
          <w:sz w:val="28"/>
          <w:lang w:val="fr-FR"/>
        </w:rPr>
      </w:pPr>
      <w:bookmarkStart w:id="4" w:name="_Toc256000004"/>
      <w:r w:rsidRPr="00472806">
        <w:rPr>
          <w:rFonts w:eastAsia="Arial"/>
          <w:color w:val="000000"/>
          <w:sz w:val="28"/>
          <w:lang w:val="fr-FR"/>
        </w:rPr>
        <w:t>3 - Confidentialité et mesures de sécurité</w:t>
      </w:r>
      <w:bookmarkEnd w:id="4"/>
    </w:p>
    <w:p w:rsidR="002D53E2" w:rsidRPr="00472806" w:rsidRDefault="00D832BF">
      <w:pPr>
        <w:pStyle w:val="ParagrapheIndent1"/>
        <w:spacing w:after="240" w:line="253" w:lineRule="exact"/>
        <w:ind w:left="20" w:right="20"/>
        <w:jc w:val="both"/>
        <w:rPr>
          <w:color w:val="000000"/>
          <w:lang w:val="fr-FR"/>
        </w:rPr>
      </w:pPr>
      <w:r w:rsidRPr="00472806">
        <w:rPr>
          <w:color w:val="000000"/>
          <w:lang w:val="fr-FR"/>
        </w:rPr>
        <w:t>Le présent marché comporte une obligation de confidentialité telle que prévue à l'article 5.1 du CCAG-PI.</w:t>
      </w:r>
    </w:p>
    <w:p w:rsidR="002D53E2" w:rsidRPr="00472806" w:rsidRDefault="00D832BF">
      <w:pPr>
        <w:pStyle w:val="ParagrapheIndent1"/>
        <w:spacing w:after="240" w:line="253" w:lineRule="exact"/>
        <w:ind w:left="20" w:right="20"/>
        <w:jc w:val="both"/>
        <w:rPr>
          <w:color w:val="000000"/>
          <w:lang w:val="fr-FR"/>
        </w:rPr>
      </w:pPr>
      <w:r w:rsidRPr="00472806">
        <w:rPr>
          <w:color w:val="000000"/>
          <w:lang w:val="fr-FR"/>
        </w:rPr>
        <w:lastRenderedPageBreak/>
        <w:t>Le titulaire doit informer ses sous-traitants des obligations de confidentialité et/ou des mesures de sécurité.</w:t>
      </w:r>
    </w:p>
    <w:p w:rsidR="002D53E2" w:rsidRPr="00472806" w:rsidRDefault="00D832BF">
      <w:pPr>
        <w:pStyle w:val="Titre1"/>
        <w:rPr>
          <w:rFonts w:eastAsia="Arial"/>
          <w:color w:val="000000"/>
          <w:sz w:val="28"/>
          <w:lang w:val="fr-FR"/>
        </w:rPr>
      </w:pPr>
      <w:bookmarkStart w:id="5" w:name="_Toc256000005"/>
      <w:r w:rsidRPr="00472806">
        <w:rPr>
          <w:rFonts w:eastAsia="Arial"/>
          <w:color w:val="000000"/>
          <w:sz w:val="28"/>
          <w:lang w:val="fr-FR"/>
        </w:rPr>
        <w:t>4 - Durée et délais d'exécution</w:t>
      </w:r>
      <w:bookmarkEnd w:id="5"/>
    </w:p>
    <w:p w:rsidR="002D53E2" w:rsidRPr="00472806" w:rsidRDefault="00D832BF">
      <w:pPr>
        <w:pStyle w:val="Titre2"/>
        <w:ind w:left="300" w:right="20"/>
        <w:jc w:val="both"/>
        <w:rPr>
          <w:rFonts w:eastAsia="Arial"/>
          <w:i w:val="0"/>
          <w:color w:val="000000"/>
          <w:sz w:val="24"/>
          <w:lang w:val="fr-FR"/>
        </w:rPr>
      </w:pPr>
      <w:bookmarkStart w:id="6" w:name="_Toc256000006"/>
      <w:r w:rsidRPr="00472806">
        <w:rPr>
          <w:rFonts w:eastAsia="Arial"/>
          <w:i w:val="0"/>
          <w:color w:val="000000"/>
          <w:sz w:val="24"/>
          <w:lang w:val="fr-FR"/>
        </w:rPr>
        <w:t>4.1 - Durée globale prévisionnelle des prestations</w:t>
      </w:r>
      <w:bookmarkEnd w:id="6"/>
    </w:p>
    <w:p w:rsidR="00322F59" w:rsidRPr="00472806" w:rsidRDefault="00322F59" w:rsidP="00322F59">
      <w:pPr>
        <w:pStyle w:val="ParagrapheIndent2"/>
        <w:spacing w:line="253" w:lineRule="exact"/>
        <w:ind w:left="20" w:right="20"/>
        <w:jc w:val="both"/>
        <w:rPr>
          <w:color w:val="000000"/>
          <w:szCs w:val="22"/>
          <w:lang w:val="fr-FR"/>
        </w:rPr>
      </w:pPr>
    </w:p>
    <w:p w:rsidR="00322F59" w:rsidRPr="00472806" w:rsidRDefault="00322F59" w:rsidP="00322F59">
      <w:pPr>
        <w:jc w:val="both"/>
        <w:rPr>
          <w:rFonts w:ascii="Arial" w:eastAsia="Calibri" w:hAnsi="Arial" w:cs="Arial"/>
          <w:bCs/>
          <w:sz w:val="22"/>
          <w:szCs w:val="22"/>
          <w:lang w:val="fr-FR"/>
        </w:rPr>
      </w:pPr>
      <w:r w:rsidRPr="00472806">
        <w:rPr>
          <w:rFonts w:ascii="Arial" w:eastAsia="Calibri" w:hAnsi="Arial" w:cs="Arial"/>
          <w:bCs/>
          <w:sz w:val="22"/>
          <w:szCs w:val="22"/>
          <w:lang w:val="fr-FR"/>
        </w:rPr>
        <w:t>La fin de l’évaluation dans sa globalité (transmission du rapport définitif à l’HAS) devra être établie pour chaque structure au moins 8 jours avant la fin de la période définie dans l’arrêté soit</w:t>
      </w:r>
      <w:r w:rsidR="000B7C2A">
        <w:rPr>
          <w:rFonts w:ascii="Arial" w:eastAsia="Calibri" w:hAnsi="Arial" w:cs="Arial"/>
          <w:bCs/>
          <w:sz w:val="22"/>
          <w:szCs w:val="22"/>
          <w:lang w:val="fr-FR"/>
        </w:rPr>
        <w:t xml:space="preserve"> avant la fin des échéances définies ci-dessous :</w:t>
      </w:r>
      <w:r w:rsidRPr="00472806">
        <w:rPr>
          <w:rFonts w:ascii="Arial" w:eastAsia="Calibri" w:hAnsi="Arial" w:cs="Arial"/>
          <w:bCs/>
          <w:sz w:val="22"/>
          <w:szCs w:val="22"/>
          <w:lang w:val="fr-FR"/>
        </w:rPr>
        <w:t xml:space="preserve"> : </w:t>
      </w:r>
    </w:p>
    <w:p w:rsidR="00322F59" w:rsidRDefault="00322F59" w:rsidP="00322F59">
      <w:pPr>
        <w:rPr>
          <w:lang w:val="fr-FR"/>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827"/>
      </w:tblGrid>
      <w:tr w:rsidR="000B7C2A" w:rsidRPr="004636E7" w:rsidTr="00786EE5">
        <w:trPr>
          <w:trHeight w:val="340"/>
        </w:trPr>
        <w:tc>
          <w:tcPr>
            <w:tcW w:w="6629" w:type="dxa"/>
            <w:shd w:val="clear" w:color="auto" w:fill="F2F2F2"/>
          </w:tcPr>
          <w:p w:rsidR="000B7C2A" w:rsidRPr="004636E7" w:rsidRDefault="000B7C2A" w:rsidP="00786EE5">
            <w:pPr>
              <w:spacing w:before="100" w:beforeAutospacing="1" w:after="100" w:afterAutospacing="1"/>
              <w:rPr>
                <w:rFonts w:ascii="Arial" w:eastAsia="Calibri" w:hAnsi="Arial" w:cs="Arial"/>
                <w:bCs/>
                <w:sz w:val="22"/>
                <w:szCs w:val="22"/>
              </w:rPr>
            </w:pPr>
            <w:r>
              <w:rPr>
                <w:rFonts w:ascii="Arial" w:eastAsia="Calibri" w:hAnsi="Arial" w:cs="Arial"/>
                <w:bCs/>
                <w:sz w:val="22"/>
                <w:szCs w:val="22"/>
              </w:rPr>
              <w:t xml:space="preserve">Nom </w:t>
            </w:r>
            <w:proofErr w:type="spellStart"/>
            <w:r>
              <w:rPr>
                <w:rFonts w:ascii="Arial" w:eastAsia="Calibri" w:hAnsi="Arial" w:cs="Arial"/>
                <w:bCs/>
                <w:sz w:val="22"/>
                <w:szCs w:val="22"/>
              </w:rPr>
              <w:t>établissement</w:t>
            </w:r>
            <w:proofErr w:type="spellEnd"/>
          </w:p>
        </w:tc>
        <w:tc>
          <w:tcPr>
            <w:tcW w:w="3827" w:type="dxa"/>
            <w:shd w:val="clear" w:color="auto" w:fill="F2F2F2"/>
          </w:tcPr>
          <w:p w:rsidR="000B7C2A" w:rsidRPr="001D6F79" w:rsidRDefault="000B7C2A" w:rsidP="00786EE5">
            <w:pPr>
              <w:spacing w:before="100" w:beforeAutospacing="1" w:after="100" w:afterAutospacing="1"/>
              <w:rPr>
                <w:rFonts w:ascii="Arial" w:eastAsia="Calibri" w:hAnsi="Arial" w:cs="Arial"/>
                <w:bCs/>
                <w:sz w:val="22"/>
                <w:szCs w:val="22"/>
              </w:rPr>
            </w:pPr>
            <w:proofErr w:type="spellStart"/>
            <w:r w:rsidRPr="001D6F79">
              <w:rPr>
                <w:rFonts w:ascii="Arial" w:eastAsia="Calibri" w:hAnsi="Arial" w:cs="Arial"/>
                <w:bCs/>
                <w:sz w:val="22"/>
                <w:szCs w:val="22"/>
              </w:rPr>
              <w:t>Échéance</w:t>
            </w:r>
            <w:proofErr w:type="spellEnd"/>
            <w:r w:rsidRPr="001D6F79">
              <w:rPr>
                <w:rFonts w:ascii="Arial" w:eastAsia="Calibri" w:hAnsi="Arial" w:cs="Arial"/>
                <w:bCs/>
                <w:sz w:val="22"/>
                <w:szCs w:val="22"/>
              </w:rPr>
              <w:t xml:space="preserve"> </w:t>
            </w:r>
            <w:proofErr w:type="spellStart"/>
            <w:r w:rsidRPr="001D6F79">
              <w:rPr>
                <w:rFonts w:ascii="Arial" w:eastAsia="Calibri" w:hAnsi="Arial" w:cs="Arial"/>
                <w:bCs/>
                <w:sz w:val="22"/>
                <w:szCs w:val="22"/>
              </w:rPr>
              <w:t>semestrielle</w:t>
            </w:r>
            <w:proofErr w:type="spellEnd"/>
            <w:r w:rsidRPr="001D6F79">
              <w:rPr>
                <w:rFonts w:ascii="Arial" w:eastAsia="Calibri" w:hAnsi="Arial" w:cs="Arial"/>
                <w:bCs/>
                <w:sz w:val="22"/>
                <w:szCs w:val="22"/>
              </w:rPr>
              <w:t xml:space="preserve"> de transmission du rapport</w:t>
            </w:r>
          </w:p>
        </w:tc>
      </w:tr>
      <w:tr w:rsidR="000B7C2A" w:rsidRPr="004636E7" w:rsidTr="00786EE5">
        <w:tc>
          <w:tcPr>
            <w:tcW w:w="6629" w:type="dxa"/>
            <w:shd w:val="clear" w:color="auto" w:fill="auto"/>
          </w:tcPr>
          <w:p w:rsidR="000B7C2A" w:rsidRPr="004636E7" w:rsidRDefault="000B7C2A" w:rsidP="00786EE5">
            <w:pPr>
              <w:spacing w:before="100" w:beforeAutospacing="1" w:after="100" w:afterAutospacing="1"/>
              <w:rPr>
                <w:rFonts w:ascii="Arial" w:eastAsia="Calibri" w:hAnsi="Arial" w:cs="Arial"/>
                <w:bCs/>
                <w:sz w:val="22"/>
                <w:szCs w:val="22"/>
              </w:rPr>
            </w:pPr>
            <w:r>
              <w:rPr>
                <w:rFonts w:ascii="Arial" w:eastAsia="Calibri" w:hAnsi="Arial" w:cs="Arial"/>
                <w:bCs/>
                <w:sz w:val="22"/>
                <w:szCs w:val="22"/>
              </w:rPr>
              <w:t xml:space="preserve">CH MONT DORE </w:t>
            </w:r>
            <w:r w:rsidRPr="00BE758C">
              <w:rPr>
                <w:rFonts w:ascii="Arial" w:eastAsia="Calibri" w:hAnsi="Arial" w:cs="Arial"/>
                <w:b/>
                <w:bCs/>
                <w:color w:val="000000"/>
                <w:sz w:val="22"/>
                <w:szCs w:val="22"/>
              </w:rPr>
              <w:t>EHPAD</w:t>
            </w:r>
            <w:r>
              <w:rPr>
                <w:rFonts w:ascii="Arial" w:eastAsia="Calibri" w:hAnsi="Arial" w:cs="Arial"/>
                <w:b/>
                <w:bCs/>
                <w:color w:val="000000"/>
                <w:sz w:val="22"/>
                <w:szCs w:val="22"/>
              </w:rPr>
              <w:t xml:space="preserve"> </w:t>
            </w:r>
            <w:r w:rsidRPr="00BE758C">
              <w:rPr>
                <w:rFonts w:ascii="Arial" w:eastAsia="Calibri" w:hAnsi="Arial" w:cs="Arial"/>
                <w:bCs/>
                <w:color w:val="000000"/>
                <w:sz w:val="22"/>
                <w:szCs w:val="22"/>
              </w:rPr>
              <w:t>« Saint Paul »</w:t>
            </w:r>
          </w:p>
        </w:tc>
        <w:tc>
          <w:tcPr>
            <w:tcW w:w="3827" w:type="dxa"/>
            <w:shd w:val="clear" w:color="auto" w:fill="auto"/>
          </w:tcPr>
          <w:p w:rsidR="000B7C2A" w:rsidRPr="001D6F79" w:rsidRDefault="000B7C2A" w:rsidP="000B7C2A">
            <w:pPr>
              <w:numPr>
                <w:ilvl w:val="0"/>
                <w:numId w:val="2"/>
              </w:numPr>
              <w:spacing w:before="100" w:beforeAutospacing="1" w:after="100" w:afterAutospacing="1"/>
              <w:rPr>
                <w:rFonts w:ascii="Arial" w:eastAsia="Calibri" w:hAnsi="Arial" w:cs="Arial"/>
                <w:bCs/>
                <w:sz w:val="22"/>
                <w:szCs w:val="22"/>
              </w:rPr>
            </w:pPr>
            <w:r w:rsidRPr="001D6F79">
              <w:rPr>
                <w:rFonts w:ascii="Arial" w:eastAsia="Calibri" w:hAnsi="Arial" w:cs="Arial"/>
                <w:bCs/>
                <w:sz w:val="22"/>
                <w:szCs w:val="22"/>
              </w:rPr>
              <w:t>1</w:t>
            </w:r>
            <w:r w:rsidRPr="001D6F79">
              <w:rPr>
                <w:rFonts w:ascii="Arial" w:eastAsia="Calibri" w:hAnsi="Arial" w:cs="Arial"/>
                <w:bCs/>
                <w:sz w:val="22"/>
                <w:szCs w:val="22"/>
                <w:vertAlign w:val="superscript"/>
              </w:rPr>
              <w:t>er</w:t>
            </w:r>
            <w:r w:rsidRPr="001D6F79">
              <w:rPr>
                <w:rFonts w:ascii="Arial" w:eastAsia="Calibri" w:hAnsi="Arial" w:cs="Arial"/>
                <w:bCs/>
                <w:sz w:val="22"/>
                <w:szCs w:val="22"/>
              </w:rPr>
              <w:t xml:space="preserve"> </w:t>
            </w:r>
            <w:proofErr w:type="spellStart"/>
            <w:r w:rsidRPr="001D6F79">
              <w:rPr>
                <w:rFonts w:ascii="Arial" w:eastAsia="Calibri" w:hAnsi="Arial" w:cs="Arial"/>
                <w:bCs/>
                <w:sz w:val="22"/>
                <w:szCs w:val="22"/>
              </w:rPr>
              <w:t>semestre</w:t>
            </w:r>
            <w:proofErr w:type="spellEnd"/>
            <w:r w:rsidRPr="001D6F79">
              <w:rPr>
                <w:rFonts w:ascii="Arial" w:eastAsia="Calibri" w:hAnsi="Arial" w:cs="Arial"/>
                <w:bCs/>
                <w:sz w:val="22"/>
                <w:szCs w:val="22"/>
              </w:rPr>
              <w:t xml:space="preserve"> 202</w:t>
            </w:r>
            <w:r>
              <w:rPr>
                <w:rFonts w:ascii="Arial" w:eastAsia="Calibri" w:hAnsi="Arial" w:cs="Arial"/>
                <w:bCs/>
                <w:sz w:val="22"/>
                <w:szCs w:val="22"/>
              </w:rPr>
              <w:t>6</w:t>
            </w:r>
          </w:p>
        </w:tc>
      </w:tr>
      <w:tr w:rsidR="000B7C2A" w:rsidRPr="004636E7" w:rsidTr="00786EE5">
        <w:tc>
          <w:tcPr>
            <w:tcW w:w="6629" w:type="dxa"/>
            <w:shd w:val="clear" w:color="auto" w:fill="auto"/>
          </w:tcPr>
          <w:p w:rsidR="000B7C2A" w:rsidRPr="004636E7" w:rsidRDefault="000B7C2A" w:rsidP="00786EE5">
            <w:pPr>
              <w:pStyle w:val="Default"/>
              <w:rPr>
                <w:rFonts w:eastAsia="Calibri"/>
                <w:bCs/>
                <w:sz w:val="22"/>
                <w:szCs w:val="22"/>
                <w:lang w:eastAsia="en-US"/>
              </w:rPr>
            </w:pPr>
            <w:r w:rsidRPr="004636E7">
              <w:rPr>
                <w:rFonts w:eastAsia="Calibri"/>
                <w:bCs/>
                <w:sz w:val="22"/>
                <w:szCs w:val="22"/>
                <w:lang w:eastAsia="en-US"/>
              </w:rPr>
              <w:t xml:space="preserve">CH </w:t>
            </w:r>
            <w:r>
              <w:rPr>
                <w:rFonts w:eastAsia="Calibri"/>
                <w:bCs/>
                <w:sz w:val="22"/>
                <w:szCs w:val="22"/>
                <w:lang w:eastAsia="en-US"/>
              </w:rPr>
              <w:t xml:space="preserve">BILLOM </w:t>
            </w:r>
            <w:r>
              <w:rPr>
                <w:rFonts w:eastAsia="Calibri"/>
                <w:b/>
                <w:bCs/>
                <w:sz w:val="22"/>
                <w:szCs w:val="22"/>
                <w:lang w:eastAsia="en-US"/>
              </w:rPr>
              <w:t>MAS</w:t>
            </w:r>
            <w:r>
              <w:rPr>
                <w:rFonts w:eastAsia="Calibri"/>
                <w:bCs/>
                <w:sz w:val="22"/>
                <w:szCs w:val="22"/>
                <w:lang w:eastAsia="en-US"/>
              </w:rPr>
              <w:t xml:space="preserve"> « Les biches »</w:t>
            </w:r>
          </w:p>
        </w:tc>
        <w:tc>
          <w:tcPr>
            <w:tcW w:w="3827" w:type="dxa"/>
            <w:shd w:val="clear" w:color="auto" w:fill="auto"/>
          </w:tcPr>
          <w:p w:rsidR="000B7C2A" w:rsidRPr="001D6F79" w:rsidRDefault="000B7C2A" w:rsidP="000B7C2A">
            <w:pPr>
              <w:numPr>
                <w:ilvl w:val="0"/>
                <w:numId w:val="2"/>
              </w:numPr>
              <w:spacing w:before="100" w:beforeAutospacing="1" w:after="100" w:afterAutospacing="1"/>
              <w:rPr>
                <w:rFonts w:ascii="Arial" w:eastAsia="Calibri" w:hAnsi="Arial" w:cs="Arial"/>
                <w:bCs/>
                <w:sz w:val="22"/>
                <w:szCs w:val="22"/>
              </w:rPr>
            </w:pPr>
            <w:r w:rsidRPr="001D6F79">
              <w:rPr>
                <w:rFonts w:ascii="Arial" w:eastAsia="Calibri" w:hAnsi="Arial" w:cs="Arial"/>
                <w:bCs/>
                <w:sz w:val="22"/>
                <w:szCs w:val="22"/>
              </w:rPr>
              <w:t xml:space="preserve">2ème </w:t>
            </w:r>
            <w:proofErr w:type="spellStart"/>
            <w:r w:rsidRPr="001D6F79">
              <w:rPr>
                <w:rFonts w:ascii="Arial" w:eastAsia="Calibri" w:hAnsi="Arial" w:cs="Arial"/>
                <w:bCs/>
                <w:sz w:val="22"/>
                <w:szCs w:val="22"/>
              </w:rPr>
              <w:t>semestre</w:t>
            </w:r>
            <w:proofErr w:type="spellEnd"/>
            <w:r w:rsidRPr="001D6F79">
              <w:rPr>
                <w:rFonts w:ascii="Arial" w:eastAsia="Calibri" w:hAnsi="Arial" w:cs="Arial"/>
                <w:bCs/>
                <w:sz w:val="22"/>
                <w:szCs w:val="22"/>
              </w:rPr>
              <w:t xml:space="preserve"> 202</w:t>
            </w:r>
            <w:r>
              <w:rPr>
                <w:rFonts w:ascii="Arial" w:eastAsia="Calibri" w:hAnsi="Arial" w:cs="Arial"/>
                <w:bCs/>
                <w:sz w:val="22"/>
                <w:szCs w:val="22"/>
              </w:rPr>
              <w:t>6</w:t>
            </w:r>
          </w:p>
        </w:tc>
      </w:tr>
      <w:tr w:rsidR="000B7C2A" w:rsidRPr="004636E7" w:rsidTr="00786EE5">
        <w:tc>
          <w:tcPr>
            <w:tcW w:w="6629" w:type="dxa"/>
            <w:shd w:val="clear" w:color="auto" w:fill="auto"/>
          </w:tcPr>
          <w:p w:rsidR="000B7C2A" w:rsidRPr="004636E7" w:rsidRDefault="000B7C2A" w:rsidP="00786EE5">
            <w:pPr>
              <w:spacing w:before="100" w:beforeAutospacing="1" w:after="100" w:afterAutospacing="1"/>
              <w:rPr>
                <w:rFonts w:ascii="Arial" w:eastAsia="Calibri" w:hAnsi="Arial" w:cs="Arial"/>
                <w:bCs/>
                <w:sz w:val="22"/>
                <w:szCs w:val="22"/>
              </w:rPr>
            </w:pPr>
            <w:r w:rsidRPr="004636E7">
              <w:rPr>
                <w:rFonts w:ascii="Arial" w:eastAsia="Calibri" w:hAnsi="Arial" w:cs="Arial"/>
                <w:bCs/>
                <w:sz w:val="22"/>
                <w:szCs w:val="22"/>
              </w:rPr>
              <w:t xml:space="preserve">CH </w:t>
            </w:r>
            <w:r>
              <w:rPr>
                <w:rFonts w:ascii="Arial" w:eastAsia="Calibri" w:hAnsi="Arial" w:cs="Arial"/>
                <w:bCs/>
                <w:sz w:val="22"/>
                <w:szCs w:val="22"/>
              </w:rPr>
              <w:t>CŒUR DU BOURBONNAIS</w:t>
            </w:r>
            <w:r w:rsidRPr="004636E7">
              <w:rPr>
                <w:rFonts w:ascii="Arial" w:eastAsia="Calibri" w:hAnsi="Arial" w:cs="Arial"/>
                <w:b/>
                <w:bCs/>
                <w:sz w:val="22"/>
                <w:szCs w:val="22"/>
              </w:rPr>
              <w:t xml:space="preserve"> EHPAD</w:t>
            </w:r>
            <w:r w:rsidRPr="004636E7">
              <w:rPr>
                <w:rFonts w:ascii="Arial" w:eastAsia="Calibri" w:hAnsi="Arial" w:cs="Arial"/>
                <w:bCs/>
                <w:sz w:val="22"/>
                <w:szCs w:val="22"/>
              </w:rPr>
              <w:t xml:space="preserve"> </w:t>
            </w:r>
          </w:p>
        </w:tc>
        <w:tc>
          <w:tcPr>
            <w:tcW w:w="3827" w:type="dxa"/>
            <w:shd w:val="clear" w:color="auto" w:fill="auto"/>
          </w:tcPr>
          <w:p w:rsidR="000B7C2A" w:rsidRPr="001D6F79" w:rsidRDefault="000B7C2A" w:rsidP="000B7C2A">
            <w:pPr>
              <w:numPr>
                <w:ilvl w:val="0"/>
                <w:numId w:val="2"/>
              </w:numPr>
              <w:spacing w:before="100" w:beforeAutospacing="1" w:after="100" w:afterAutospacing="1"/>
              <w:rPr>
                <w:rFonts w:ascii="Arial" w:eastAsia="Calibri" w:hAnsi="Arial" w:cs="Arial"/>
                <w:bCs/>
                <w:sz w:val="22"/>
                <w:szCs w:val="22"/>
              </w:rPr>
            </w:pPr>
            <w:r>
              <w:rPr>
                <w:rFonts w:ascii="Arial" w:eastAsia="Calibri" w:hAnsi="Arial" w:cs="Arial"/>
                <w:bCs/>
                <w:sz w:val="22"/>
                <w:szCs w:val="22"/>
              </w:rPr>
              <w:t xml:space="preserve">2ème </w:t>
            </w:r>
            <w:proofErr w:type="spellStart"/>
            <w:r>
              <w:rPr>
                <w:rFonts w:ascii="Arial" w:eastAsia="Calibri" w:hAnsi="Arial" w:cs="Arial"/>
                <w:bCs/>
                <w:sz w:val="22"/>
                <w:szCs w:val="22"/>
              </w:rPr>
              <w:t>semestre</w:t>
            </w:r>
            <w:proofErr w:type="spellEnd"/>
            <w:r>
              <w:rPr>
                <w:rFonts w:ascii="Arial" w:eastAsia="Calibri" w:hAnsi="Arial" w:cs="Arial"/>
                <w:bCs/>
                <w:sz w:val="22"/>
                <w:szCs w:val="22"/>
              </w:rPr>
              <w:t xml:space="preserve"> 2026</w:t>
            </w:r>
          </w:p>
        </w:tc>
      </w:tr>
      <w:tr w:rsidR="000B7C2A" w:rsidRPr="004636E7" w:rsidTr="00786EE5">
        <w:tc>
          <w:tcPr>
            <w:tcW w:w="6629" w:type="dxa"/>
            <w:shd w:val="clear" w:color="auto" w:fill="auto"/>
          </w:tcPr>
          <w:p w:rsidR="000B7C2A" w:rsidRPr="004636E7" w:rsidRDefault="000B7C2A" w:rsidP="00786EE5">
            <w:pPr>
              <w:spacing w:before="100" w:beforeAutospacing="1" w:after="100" w:afterAutospacing="1"/>
              <w:rPr>
                <w:rFonts w:ascii="Arial" w:eastAsia="Calibri" w:hAnsi="Arial" w:cs="Arial"/>
                <w:bCs/>
                <w:sz w:val="22"/>
                <w:szCs w:val="22"/>
              </w:rPr>
            </w:pPr>
            <w:r w:rsidRPr="004636E7">
              <w:rPr>
                <w:rFonts w:ascii="Arial" w:eastAsia="Calibri" w:hAnsi="Arial" w:cs="Arial"/>
                <w:bCs/>
                <w:sz w:val="22"/>
                <w:szCs w:val="22"/>
              </w:rPr>
              <w:t xml:space="preserve">CH MONTLUCON NERIS-LES-BAINS </w:t>
            </w:r>
            <w:r>
              <w:rPr>
                <w:rFonts w:ascii="Arial" w:eastAsia="Calibri" w:hAnsi="Arial" w:cs="Arial"/>
                <w:b/>
                <w:bCs/>
                <w:sz w:val="22"/>
                <w:szCs w:val="22"/>
              </w:rPr>
              <w:t>CAMPS</w:t>
            </w:r>
          </w:p>
        </w:tc>
        <w:tc>
          <w:tcPr>
            <w:tcW w:w="3827" w:type="dxa"/>
            <w:shd w:val="clear" w:color="auto" w:fill="auto"/>
          </w:tcPr>
          <w:p w:rsidR="000B7C2A" w:rsidRDefault="000B7C2A" w:rsidP="000B7C2A">
            <w:pPr>
              <w:numPr>
                <w:ilvl w:val="0"/>
                <w:numId w:val="2"/>
              </w:numPr>
              <w:spacing w:before="100" w:beforeAutospacing="1" w:after="100" w:afterAutospacing="1"/>
              <w:rPr>
                <w:rFonts w:ascii="Arial" w:eastAsia="Calibri" w:hAnsi="Arial" w:cs="Arial"/>
                <w:bCs/>
                <w:sz w:val="22"/>
                <w:szCs w:val="22"/>
              </w:rPr>
            </w:pPr>
            <w:r>
              <w:rPr>
                <w:rFonts w:ascii="Arial" w:eastAsia="Calibri" w:hAnsi="Arial" w:cs="Arial"/>
                <w:bCs/>
                <w:sz w:val="22"/>
                <w:szCs w:val="22"/>
              </w:rPr>
              <w:t xml:space="preserve">2ème </w:t>
            </w:r>
            <w:proofErr w:type="spellStart"/>
            <w:r>
              <w:rPr>
                <w:rFonts w:ascii="Arial" w:eastAsia="Calibri" w:hAnsi="Arial" w:cs="Arial"/>
                <w:bCs/>
                <w:sz w:val="22"/>
                <w:szCs w:val="22"/>
              </w:rPr>
              <w:t>semestre</w:t>
            </w:r>
            <w:proofErr w:type="spellEnd"/>
            <w:r>
              <w:rPr>
                <w:rFonts w:ascii="Arial" w:eastAsia="Calibri" w:hAnsi="Arial" w:cs="Arial"/>
                <w:bCs/>
                <w:sz w:val="22"/>
                <w:szCs w:val="22"/>
              </w:rPr>
              <w:t xml:space="preserve"> 2026</w:t>
            </w:r>
          </w:p>
        </w:tc>
      </w:tr>
      <w:tr w:rsidR="000B7C2A" w:rsidRPr="004636E7" w:rsidTr="00786EE5">
        <w:tc>
          <w:tcPr>
            <w:tcW w:w="6629" w:type="dxa"/>
            <w:shd w:val="clear" w:color="auto" w:fill="auto"/>
          </w:tcPr>
          <w:p w:rsidR="000B7C2A" w:rsidRPr="004636E7" w:rsidRDefault="000B7C2A" w:rsidP="00786EE5">
            <w:pPr>
              <w:spacing w:before="100" w:beforeAutospacing="1" w:after="100" w:afterAutospacing="1"/>
              <w:rPr>
                <w:rFonts w:ascii="Arial" w:eastAsia="Calibri" w:hAnsi="Arial" w:cs="Arial"/>
                <w:bCs/>
                <w:sz w:val="22"/>
                <w:szCs w:val="22"/>
              </w:rPr>
            </w:pPr>
            <w:r w:rsidRPr="004636E7">
              <w:rPr>
                <w:rFonts w:ascii="Arial" w:eastAsia="Calibri" w:hAnsi="Arial" w:cs="Arial"/>
                <w:bCs/>
                <w:sz w:val="22"/>
                <w:szCs w:val="22"/>
              </w:rPr>
              <w:t xml:space="preserve">CH </w:t>
            </w:r>
            <w:r>
              <w:rPr>
                <w:rFonts w:ascii="Arial" w:eastAsia="Calibri" w:hAnsi="Arial" w:cs="Arial"/>
                <w:bCs/>
                <w:sz w:val="22"/>
                <w:szCs w:val="22"/>
              </w:rPr>
              <w:t>VICHY</w:t>
            </w:r>
            <w:r w:rsidRPr="004636E7">
              <w:rPr>
                <w:rFonts w:ascii="Arial" w:eastAsia="Calibri" w:hAnsi="Arial" w:cs="Arial"/>
                <w:bCs/>
                <w:sz w:val="22"/>
                <w:szCs w:val="22"/>
              </w:rPr>
              <w:t xml:space="preserve"> </w:t>
            </w:r>
            <w:r>
              <w:rPr>
                <w:rFonts w:ascii="Arial" w:eastAsia="Calibri" w:hAnsi="Arial" w:cs="Arial"/>
                <w:b/>
                <w:bCs/>
                <w:sz w:val="22"/>
                <w:szCs w:val="22"/>
              </w:rPr>
              <w:t>CAMPS</w:t>
            </w:r>
          </w:p>
        </w:tc>
        <w:tc>
          <w:tcPr>
            <w:tcW w:w="3827" w:type="dxa"/>
            <w:shd w:val="clear" w:color="auto" w:fill="auto"/>
          </w:tcPr>
          <w:p w:rsidR="000B7C2A" w:rsidRDefault="000B7C2A" w:rsidP="000B7C2A">
            <w:pPr>
              <w:numPr>
                <w:ilvl w:val="0"/>
                <w:numId w:val="2"/>
              </w:numPr>
              <w:spacing w:before="100" w:beforeAutospacing="1" w:after="100" w:afterAutospacing="1"/>
              <w:rPr>
                <w:rFonts w:ascii="Arial" w:eastAsia="Calibri" w:hAnsi="Arial" w:cs="Arial"/>
                <w:bCs/>
                <w:sz w:val="22"/>
                <w:szCs w:val="22"/>
              </w:rPr>
            </w:pPr>
            <w:r>
              <w:rPr>
                <w:rFonts w:ascii="Arial" w:eastAsia="Calibri" w:hAnsi="Arial" w:cs="Arial"/>
                <w:bCs/>
                <w:sz w:val="22"/>
                <w:szCs w:val="22"/>
              </w:rPr>
              <w:t xml:space="preserve">2ème </w:t>
            </w:r>
            <w:proofErr w:type="spellStart"/>
            <w:r>
              <w:rPr>
                <w:rFonts w:ascii="Arial" w:eastAsia="Calibri" w:hAnsi="Arial" w:cs="Arial"/>
                <w:bCs/>
                <w:sz w:val="22"/>
                <w:szCs w:val="22"/>
              </w:rPr>
              <w:t>semestre</w:t>
            </w:r>
            <w:proofErr w:type="spellEnd"/>
            <w:r>
              <w:rPr>
                <w:rFonts w:ascii="Arial" w:eastAsia="Calibri" w:hAnsi="Arial" w:cs="Arial"/>
                <w:bCs/>
                <w:sz w:val="22"/>
                <w:szCs w:val="22"/>
              </w:rPr>
              <w:t xml:space="preserve"> 2026</w:t>
            </w:r>
          </w:p>
        </w:tc>
      </w:tr>
      <w:tr w:rsidR="000B7C2A" w:rsidRPr="004636E7" w:rsidTr="00786EE5">
        <w:tc>
          <w:tcPr>
            <w:tcW w:w="6629" w:type="dxa"/>
            <w:shd w:val="clear" w:color="auto" w:fill="auto"/>
          </w:tcPr>
          <w:p w:rsidR="000B7C2A" w:rsidRPr="004636E7" w:rsidRDefault="000B7C2A" w:rsidP="00786EE5">
            <w:pPr>
              <w:spacing w:before="100" w:beforeAutospacing="1" w:after="100" w:afterAutospacing="1"/>
              <w:rPr>
                <w:rFonts w:ascii="Arial" w:eastAsia="Calibri" w:hAnsi="Arial" w:cs="Arial"/>
                <w:bCs/>
                <w:sz w:val="22"/>
                <w:szCs w:val="22"/>
              </w:rPr>
            </w:pPr>
            <w:r w:rsidRPr="004636E7">
              <w:rPr>
                <w:rFonts w:ascii="Arial" w:eastAsia="Calibri" w:hAnsi="Arial" w:cs="Arial"/>
                <w:bCs/>
                <w:sz w:val="22"/>
                <w:szCs w:val="22"/>
              </w:rPr>
              <w:t xml:space="preserve">CH </w:t>
            </w:r>
            <w:r>
              <w:rPr>
                <w:rFonts w:ascii="Arial" w:eastAsia="Calibri" w:hAnsi="Arial" w:cs="Arial"/>
                <w:bCs/>
                <w:sz w:val="22"/>
                <w:szCs w:val="22"/>
              </w:rPr>
              <w:t>MOULINS YZEURE</w:t>
            </w:r>
            <w:r w:rsidRPr="004636E7">
              <w:rPr>
                <w:rFonts w:ascii="Arial" w:eastAsia="Calibri" w:hAnsi="Arial" w:cs="Arial"/>
                <w:bCs/>
                <w:sz w:val="22"/>
                <w:szCs w:val="22"/>
              </w:rPr>
              <w:t xml:space="preserve"> </w:t>
            </w:r>
            <w:r>
              <w:rPr>
                <w:rFonts w:ascii="Arial" w:eastAsia="Calibri" w:hAnsi="Arial" w:cs="Arial"/>
                <w:b/>
                <w:bCs/>
                <w:sz w:val="22"/>
                <w:szCs w:val="22"/>
              </w:rPr>
              <w:t>CAMPS</w:t>
            </w:r>
          </w:p>
        </w:tc>
        <w:tc>
          <w:tcPr>
            <w:tcW w:w="3827" w:type="dxa"/>
            <w:shd w:val="clear" w:color="auto" w:fill="auto"/>
          </w:tcPr>
          <w:p w:rsidR="000B7C2A" w:rsidRDefault="000B7C2A" w:rsidP="000B7C2A">
            <w:pPr>
              <w:numPr>
                <w:ilvl w:val="0"/>
                <w:numId w:val="2"/>
              </w:numPr>
              <w:spacing w:before="100" w:beforeAutospacing="1" w:after="100" w:afterAutospacing="1"/>
              <w:rPr>
                <w:rFonts w:ascii="Arial" w:eastAsia="Calibri" w:hAnsi="Arial" w:cs="Arial"/>
                <w:bCs/>
                <w:sz w:val="22"/>
                <w:szCs w:val="22"/>
              </w:rPr>
            </w:pPr>
            <w:r>
              <w:rPr>
                <w:rFonts w:ascii="Arial" w:eastAsia="Calibri" w:hAnsi="Arial" w:cs="Arial"/>
                <w:bCs/>
                <w:sz w:val="22"/>
                <w:szCs w:val="22"/>
              </w:rPr>
              <w:t xml:space="preserve">2ème </w:t>
            </w:r>
            <w:proofErr w:type="spellStart"/>
            <w:r>
              <w:rPr>
                <w:rFonts w:ascii="Arial" w:eastAsia="Calibri" w:hAnsi="Arial" w:cs="Arial"/>
                <w:bCs/>
                <w:sz w:val="22"/>
                <w:szCs w:val="22"/>
              </w:rPr>
              <w:t>semestre</w:t>
            </w:r>
            <w:proofErr w:type="spellEnd"/>
            <w:r>
              <w:rPr>
                <w:rFonts w:ascii="Arial" w:eastAsia="Calibri" w:hAnsi="Arial" w:cs="Arial"/>
                <w:bCs/>
                <w:sz w:val="22"/>
                <w:szCs w:val="22"/>
              </w:rPr>
              <w:t xml:space="preserve"> 2026</w:t>
            </w:r>
          </w:p>
        </w:tc>
      </w:tr>
    </w:tbl>
    <w:p w:rsidR="000B7C2A" w:rsidRDefault="000B7C2A" w:rsidP="00322F59">
      <w:pPr>
        <w:rPr>
          <w:lang w:val="fr-FR"/>
        </w:rPr>
      </w:pPr>
    </w:p>
    <w:p w:rsidR="002D53E2" w:rsidRPr="00472806" w:rsidRDefault="002D53E2" w:rsidP="00322F59">
      <w:pPr>
        <w:pStyle w:val="ParagrapheIndent2"/>
        <w:spacing w:after="240"/>
        <w:ind w:right="20"/>
        <w:jc w:val="both"/>
        <w:rPr>
          <w:color w:val="000000"/>
          <w:lang w:val="fr-FR"/>
        </w:rPr>
      </w:pPr>
    </w:p>
    <w:p w:rsidR="002D53E2" w:rsidRPr="00472806" w:rsidRDefault="00D832BF">
      <w:pPr>
        <w:pStyle w:val="Titre2"/>
        <w:ind w:left="300" w:right="20"/>
        <w:jc w:val="both"/>
        <w:rPr>
          <w:rFonts w:eastAsia="Arial"/>
          <w:i w:val="0"/>
          <w:color w:val="000000"/>
          <w:sz w:val="24"/>
          <w:lang w:val="fr-FR"/>
        </w:rPr>
      </w:pPr>
      <w:bookmarkStart w:id="7" w:name="_Toc256000007"/>
      <w:r w:rsidRPr="00472806">
        <w:rPr>
          <w:rFonts w:eastAsia="Arial"/>
          <w:i w:val="0"/>
          <w:color w:val="000000"/>
          <w:sz w:val="24"/>
          <w:lang w:val="fr-FR"/>
        </w:rPr>
        <w:t>4.2 - Durée du contrat</w:t>
      </w:r>
      <w:bookmarkEnd w:id="7"/>
    </w:p>
    <w:p w:rsidR="002D53E2" w:rsidRPr="00472806" w:rsidRDefault="00D832BF">
      <w:pPr>
        <w:pStyle w:val="ParagrapheIndent2"/>
        <w:spacing w:after="240"/>
        <w:ind w:left="20" w:right="20"/>
        <w:jc w:val="both"/>
        <w:rPr>
          <w:color w:val="000000"/>
          <w:lang w:val="fr-FR"/>
        </w:rPr>
      </w:pPr>
      <w:r w:rsidRPr="00472806">
        <w:rPr>
          <w:color w:val="000000"/>
          <w:lang w:val="fr-FR"/>
        </w:rPr>
        <w:t>L'exécution des prestations débute à compter de la date de notification du contrat.</w:t>
      </w:r>
    </w:p>
    <w:p w:rsidR="00322F59" w:rsidRPr="00472806" w:rsidRDefault="00322F59">
      <w:pPr>
        <w:pStyle w:val="ParagrapheIndent2"/>
        <w:spacing w:after="240" w:line="253" w:lineRule="exact"/>
        <w:ind w:left="20" w:right="20"/>
        <w:jc w:val="both"/>
        <w:rPr>
          <w:color w:val="000000"/>
          <w:lang w:val="fr-FR"/>
        </w:rPr>
      </w:pPr>
      <w:r w:rsidRPr="00472806">
        <w:rPr>
          <w:color w:val="000000"/>
          <w:lang w:val="fr-FR"/>
        </w:rPr>
        <w:t xml:space="preserve">Chacun des </w:t>
      </w:r>
      <w:r w:rsidR="00472806">
        <w:rPr>
          <w:color w:val="000000"/>
          <w:lang w:val="fr-FR"/>
        </w:rPr>
        <w:t>3</w:t>
      </w:r>
      <w:r w:rsidRPr="00472806">
        <w:rPr>
          <w:color w:val="000000"/>
          <w:lang w:val="fr-FR"/>
        </w:rPr>
        <w:t xml:space="preserve"> lots se terminera à comp</w:t>
      </w:r>
      <w:r w:rsidR="001D7363" w:rsidRPr="00472806">
        <w:rPr>
          <w:color w:val="000000"/>
          <w:lang w:val="fr-FR"/>
        </w:rPr>
        <w:t>t</w:t>
      </w:r>
      <w:r w:rsidRPr="00472806">
        <w:rPr>
          <w:color w:val="000000"/>
          <w:lang w:val="fr-FR"/>
        </w:rPr>
        <w:t>er</w:t>
      </w:r>
      <w:r w:rsidR="001D7363" w:rsidRPr="00472806">
        <w:rPr>
          <w:lang w:val="fr-FR"/>
        </w:rPr>
        <w:t xml:space="preserve"> de la </w:t>
      </w:r>
      <w:r w:rsidR="001D7363" w:rsidRPr="00472806">
        <w:rPr>
          <w:color w:val="000000"/>
          <w:lang w:val="fr-FR"/>
        </w:rPr>
        <w:t>transmission du rapport définitif à l’HAS</w:t>
      </w:r>
      <w:r w:rsidR="008F5C91" w:rsidRPr="00472806">
        <w:rPr>
          <w:color w:val="000000"/>
          <w:lang w:val="fr-FR"/>
        </w:rPr>
        <w:t xml:space="preserve"> avant les dates indiquées ci-dessus</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Une prolongation du délai d'exécution peut être accordée par le pouvoir adjudicateur dans les conditions de l'article 13.3 du CCAG-PI.</w:t>
      </w:r>
    </w:p>
    <w:p w:rsidR="002D53E2" w:rsidRPr="00472806" w:rsidRDefault="002D53E2">
      <w:pPr>
        <w:spacing w:after="80" w:line="240" w:lineRule="exact"/>
        <w:rPr>
          <w:lang w:val="fr-FR"/>
        </w:rPr>
      </w:pPr>
    </w:p>
    <w:p w:rsidR="002D53E2" w:rsidRPr="00472806" w:rsidRDefault="00D832BF">
      <w:pPr>
        <w:pStyle w:val="Titre1"/>
        <w:rPr>
          <w:rFonts w:eastAsia="Arial"/>
          <w:color w:val="000000"/>
          <w:sz w:val="28"/>
          <w:lang w:val="fr-FR"/>
        </w:rPr>
      </w:pPr>
      <w:bookmarkStart w:id="8" w:name="_Toc256000009"/>
      <w:r w:rsidRPr="00472806">
        <w:rPr>
          <w:rFonts w:eastAsia="Arial"/>
          <w:color w:val="000000"/>
          <w:sz w:val="28"/>
          <w:lang w:val="fr-FR"/>
        </w:rPr>
        <w:t>5 - Prix</w:t>
      </w:r>
      <w:bookmarkEnd w:id="8"/>
    </w:p>
    <w:p w:rsidR="002D53E2" w:rsidRPr="00472806" w:rsidRDefault="00D832BF">
      <w:pPr>
        <w:pStyle w:val="Titre2"/>
        <w:ind w:left="300" w:right="20"/>
        <w:jc w:val="both"/>
        <w:rPr>
          <w:rFonts w:eastAsia="Arial"/>
          <w:i w:val="0"/>
          <w:color w:val="000000"/>
          <w:sz w:val="24"/>
          <w:lang w:val="fr-FR"/>
        </w:rPr>
      </w:pPr>
      <w:bookmarkStart w:id="9" w:name="_Toc256000010"/>
      <w:r w:rsidRPr="00472806">
        <w:rPr>
          <w:rFonts w:eastAsia="Arial"/>
          <w:i w:val="0"/>
          <w:color w:val="000000"/>
          <w:sz w:val="24"/>
          <w:lang w:val="fr-FR"/>
        </w:rPr>
        <w:t>5.1 - Caractéristiques des prix pratiqués</w:t>
      </w:r>
      <w:bookmarkEnd w:id="9"/>
    </w:p>
    <w:p w:rsidR="002D53E2" w:rsidRPr="00472806" w:rsidRDefault="00730008">
      <w:pPr>
        <w:pStyle w:val="ParagrapheIndent2"/>
        <w:spacing w:after="240" w:line="253" w:lineRule="exact"/>
        <w:ind w:left="20" w:right="20"/>
        <w:jc w:val="both"/>
        <w:rPr>
          <w:color w:val="000000"/>
          <w:lang w:val="fr-FR"/>
        </w:rPr>
      </w:pPr>
      <w:r w:rsidRPr="00472806">
        <w:rPr>
          <w:color w:val="000000"/>
          <w:lang w:val="fr-FR"/>
        </w:rPr>
        <w:t xml:space="preserve">Les prestations sont réglées par un prix global forfaitaire selon les stipulations de l'acte d'engagement </w:t>
      </w:r>
    </w:p>
    <w:p w:rsidR="002D53E2" w:rsidRPr="00472806" w:rsidRDefault="00D832BF">
      <w:pPr>
        <w:pStyle w:val="Titre2"/>
        <w:ind w:left="300" w:right="20"/>
        <w:jc w:val="both"/>
        <w:rPr>
          <w:rFonts w:eastAsia="Arial"/>
          <w:i w:val="0"/>
          <w:color w:val="000000"/>
          <w:sz w:val="24"/>
          <w:lang w:val="fr-FR"/>
        </w:rPr>
      </w:pPr>
      <w:bookmarkStart w:id="10" w:name="_Toc256000011"/>
      <w:r w:rsidRPr="00472806">
        <w:rPr>
          <w:rFonts w:eastAsia="Arial"/>
          <w:i w:val="0"/>
          <w:color w:val="000000"/>
          <w:sz w:val="24"/>
          <w:lang w:val="fr-FR"/>
        </w:rPr>
        <w:t>5.2 - Modalités de variation des prix</w:t>
      </w:r>
      <w:bookmarkEnd w:id="10"/>
    </w:p>
    <w:p w:rsidR="00EF0B80" w:rsidRPr="00472806" w:rsidRDefault="00EF0B80" w:rsidP="004F2199">
      <w:pPr>
        <w:pStyle w:val="ParagrapheIndent2"/>
        <w:ind w:left="20" w:right="20"/>
        <w:jc w:val="both"/>
        <w:rPr>
          <w:color w:val="000000"/>
          <w:lang w:val="fr-FR"/>
        </w:rPr>
      </w:pPr>
    </w:p>
    <w:p w:rsidR="004F2199" w:rsidRPr="00472806" w:rsidRDefault="00D832BF" w:rsidP="004F2199">
      <w:pPr>
        <w:pStyle w:val="ParagrapheIndent2"/>
        <w:ind w:left="20" w:right="20"/>
        <w:jc w:val="both"/>
        <w:rPr>
          <w:color w:val="000000"/>
          <w:szCs w:val="22"/>
          <w:lang w:val="fr-FR"/>
        </w:rPr>
      </w:pPr>
      <w:r w:rsidRPr="00472806">
        <w:rPr>
          <w:color w:val="000000"/>
          <w:lang w:val="fr-FR"/>
        </w:rPr>
        <w:t xml:space="preserve">Les prix sont </w:t>
      </w:r>
      <w:r w:rsidR="00EF0B80" w:rsidRPr="00472806">
        <w:rPr>
          <w:color w:val="000000"/>
          <w:lang w:val="fr-FR"/>
        </w:rPr>
        <w:t>révisables</w:t>
      </w:r>
      <w:r w:rsidRPr="00472806">
        <w:rPr>
          <w:color w:val="000000"/>
          <w:lang w:val="fr-FR"/>
        </w:rPr>
        <w:t>.</w:t>
      </w:r>
      <w:r w:rsidRPr="00472806">
        <w:rPr>
          <w:color w:val="000000"/>
          <w:lang w:val="fr-FR"/>
        </w:rPr>
        <w:cr/>
      </w:r>
    </w:p>
    <w:p w:rsidR="00EF0B80" w:rsidRPr="00472806" w:rsidRDefault="00EF0B80" w:rsidP="00EF0B80">
      <w:pPr>
        <w:pStyle w:val="ParagrapheIndent2"/>
        <w:spacing w:after="240" w:line="253" w:lineRule="exact"/>
        <w:ind w:left="20" w:right="20"/>
        <w:jc w:val="both"/>
        <w:rPr>
          <w:color w:val="000000"/>
          <w:lang w:val="fr-FR"/>
        </w:rPr>
      </w:pPr>
      <w:r w:rsidRPr="00472806">
        <w:rPr>
          <w:color w:val="000000"/>
          <w:lang w:val="fr-FR"/>
        </w:rPr>
        <w:t>Les prix sont réputés établis sur la base des conditions économiques de la date de remise des offres (janvier 2024) ; ce mois est appelé " mois zéro ".</w:t>
      </w:r>
    </w:p>
    <w:p w:rsidR="00EF0B80" w:rsidRPr="00472806" w:rsidRDefault="00EF0B80" w:rsidP="00EF0B80">
      <w:pPr>
        <w:pStyle w:val="ParagrapheIndent2"/>
        <w:spacing w:line="253" w:lineRule="exact"/>
        <w:ind w:left="20" w:right="20"/>
        <w:jc w:val="both"/>
        <w:rPr>
          <w:color w:val="000000"/>
          <w:lang w:val="fr-FR"/>
        </w:rPr>
      </w:pPr>
      <w:r w:rsidRPr="00472806">
        <w:rPr>
          <w:color w:val="000000"/>
          <w:lang w:val="fr-FR"/>
        </w:rPr>
        <w:t xml:space="preserve">Les prix sont révisés </w:t>
      </w:r>
      <w:r w:rsidR="004D1906" w:rsidRPr="00472806">
        <w:rPr>
          <w:color w:val="000000"/>
          <w:lang w:val="fr-FR"/>
        </w:rPr>
        <w:t xml:space="preserve">une fois </w:t>
      </w:r>
      <w:r w:rsidRPr="00472806">
        <w:rPr>
          <w:color w:val="000000"/>
          <w:lang w:val="fr-FR"/>
        </w:rPr>
        <w:t xml:space="preserve">annuellement </w:t>
      </w:r>
      <w:r w:rsidR="004D1906" w:rsidRPr="00472806">
        <w:rPr>
          <w:color w:val="000000"/>
          <w:lang w:val="fr-FR"/>
        </w:rPr>
        <w:t xml:space="preserve">à la date anniversaire de la notification du marché </w:t>
      </w:r>
      <w:r w:rsidRPr="00472806">
        <w:rPr>
          <w:color w:val="000000"/>
          <w:lang w:val="fr-FR"/>
        </w:rPr>
        <w:t>par application de la formule suivante :</w:t>
      </w:r>
    </w:p>
    <w:p w:rsidR="00EF0B80" w:rsidRPr="00472806" w:rsidRDefault="00EF0B80" w:rsidP="00EF0B80">
      <w:pPr>
        <w:pStyle w:val="ParagrapheIndent2"/>
        <w:spacing w:line="253" w:lineRule="exact"/>
        <w:ind w:left="20" w:right="20"/>
        <w:jc w:val="both"/>
        <w:rPr>
          <w:color w:val="000000"/>
          <w:lang w:val="fr-FR"/>
        </w:rPr>
      </w:pPr>
    </w:p>
    <w:p w:rsidR="00EF0B80" w:rsidRPr="00472806" w:rsidRDefault="00EF0B80" w:rsidP="00EF0B80">
      <w:pPr>
        <w:pStyle w:val="ParagrapheIndent2"/>
        <w:spacing w:line="253" w:lineRule="exact"/>
        <w:ind w:left="20" w:right="20"/>
        <w:jc w:val="both"/>
        <w:rPr>
          <w:color w:val="000000"/>
          <w:lang w:val="fr-FR"/>
        </w:rPr>
      </w:pPr>
      <w:r w:rsidRPr="00472806">
        <w:rPr>
          <w:color w:val="000000"/>
          <w:lang w:val="fr-FR"/>
        </w:rPr>
        <w:t>P1= P0 (</w:t>
      </w:r>
      <w:proofErr w:type="spellStart"/>
      <w:r w:rsidRPr="00472806">
        <w:rPr>
          <w:color w:val="000000"/>
          <w:lang w:val="fr-FR"/>
        </w:rPr>
        <w:t>Syntec</w:t>
      </w:r>
      <w:proofErr w:type="spellEnd"/>
      <w:r w:rsidRPr="00472806">
        <w:rPr>
          <w:color w:val="000000"/>
          <w:lang w:val="fr-FR"/>
        </w:rPr>
        <w:t xml:space="preserve"> Sn / </w:t>
      </w:r>
      <w:proofErr w:type="spellStart"/>
      <w:r w:rsidRPr="00472806">
        <w:rPr>
          <w:color w:val="000000"/>
          <w:lang w:val="fr-FR"/>
        </w:rPr>
        <w:t>syntec</w:t>
      </w:r>
      <w:proofErr w:type="spellEnd"/>
      <w:r w:rsidRPr="00472806">
        <w:rPr>
          <w:color w:val="000000"/>
          <w:lang w:val="fr-FR"/>
        </w:rPr>
        <w:t xml:space="preserve"> S0)</w:t>
      </w:r>
    </w:p>
    <w:p w:rsidR="00EF0B80" w:rsidRPr="00472806" w:rsidRDefault="00EF0B80" w:rsidP="00EF0B80">
      <w:pPr>
        <w:rPr>
          <w:highlight w:val="yellow"/>
          <w:lang w:val="fr-FR"/>
        </w:rPr>
      </w:pPr>
    </w:p>
    <w:p w:rsidR="00EF0B80" w:rsidRPr="00472806" w:rsidRDefault="00EF0B80" w:rsidP="00EF0B80">
      <w:pPr>
        <w:pStyle w:val="ParagrapheIndent2"/>
        <w:spacing w:line="253" w:lineRule="exact"/>
        <w:ind w:left="20" w:right="20"/>
        <w:jc w:val="both"/>
        <w:rPr>
          <w:color w:val="000000"/>
          <w:lang w:val="fr-FR"/>
        </w:rPr>
      </w:pPr>
      <w:proofErr w:type="gramStart"/>
      <w:r w:rsidRPr="00472806">
        <w:rPr>
          <w:color w:val="000000"/>
          <w:lang w:val="fr-FR"/>
        </w:rPr>
        <w:t>selon</w:t>
      </w:r>
      <w:proofErr w:type="gramEnd"/>
      <w:r w:rsidRPr="00472806">
        <w:rPr>
          <w:color w:val="000000"/>
          <w:lang w:val="fr-FR"/>
        </w:rPr>
        <w:t xml:space="preserve"> les dispositions suivantes :</w:t>
      </w:r>
    </w:p>
    <w:p w:rsidR="00EF0B80" w:rsidRPr="00472806" w:rsidRDefault="00EF0B80" w:rsidP="00EF0B80">
      <w:pPr>
        <w:pStyle w:val="ParagrapheIndent2"/>
        <w:spacing w:line="253" w:lineRule="exact"/>
        <w:ind w:left="20" w:right="20"/>
        <w:jc w:val="both"/>
        <w:rPr>
          <w:color w:val="000000"/>
          <w:lang w:val="fr-FR"/>
        </w:rPr>
      </w:pPr>
      <w:r w:rsidRPr="00472806">
        <w:rPr>
          <w:color w:val="000000"/>
          <w:lang w:val="fr-FR"/>
        </w:rPr>
        <w:t>- P1 : Prix révisé</w:t>
      </w:r>
    </w:p>
    <w:p w:rsidR="00EF0B80" w:rsidRPr="00472806" w:rsidRDefault="00EF0B80" w:rsidP="00EF0B80">
      <w:pPr>
        <w:rPr>
          <w:lang w:val="fr-FR"/>
        </w:rPr>
      </w:pPr>
      <w:r w:rsidRPr="00472806">
        <w:rPr>
          <w:rFonts w:ascii="Arial" w:eastAsia="Arial" w:hAnsi="Arial" w:cs="Arial"/>
          <w:color w:val="000000"/>
          <w:sz w:val="22"/>
          <w:lang w:val="fr-FR"/>
        </w:rPr>
        <w:t xml:space="preserve">- P0 : Prix </w:t>
      </w:r>
      <w:proofErr w:type="spellStart"/>
      <w:r w:rsidRPr="00472806">
        <w:rPr>
          <w:rFonts w:ascii="Arial" w:eastAsia="Arial" w:hAnsi="Arial" w:cs="Arial"/>
          <w:color w:val="000000"/>
          <w:sz w:val="22"/>
          <w:lang w:val="fr-FR"/>
        </w:rPr>
        <w:t>intial</w:t>
      </w:r>
      <w:proofErr w:type="spellEnd"/>
    </w:p>
    <w:p w:rsidR="00EF0B80" w:rsidRPr="00472806" w:rsidRDefault="00EF0B80" w:rsidP="00EF0B80">
      <w:pPr>
        <w:pStyle w:val="ParagrapheIndent2"/>
        <w:spacing w:line="253" w:lineRule="exact"/>
        <w:ind w:left="20" w:right="20"/>
        <w:jc w:val="both"/>
        <w:rPr>
          <w:color w:val="000000"/>
          <w:lang w:val="fr-FR"/>
        </w:rPr>
      </w:pPr>
      <w:r w:rsidRPr="00472806">
        <w:rPr>
          <w:color w:val="000000"/>
          <w:lang w:val="fr-FR"/>
        </w:rPr>
        <w:t>- Index (Sn) : dernière valeur connue (provisoire ou définitif) de l'index de référence à la date de la révision.</w:t>
      </w:r>
    </w:p>
    <w:p w:rsidR="00EF0B80" w:rsidRPr="00472806" w:rsidRDefault="00EF0B80" w:rsidP="00EF0B80">
      <w:pPr>
        <w:pStyle w:val="ParagrapheIndent2"/>
        <w:spacing w:line="253" w:lineRule="exact"/>
        <w:ind w:left="20" w:right="20"/>
        <w:jc w:val="both"/>
        <w:rPr>
          <w:color w:val="000000"/>
          <w:lang w:val="fr-FR"/>
        </w:rPr>
      </w:pPr>
      <w:r w:rsidRPr="00472806">
        <w:rPr>
          <w:color w:val="000000"/>
          <w:lang w:val="fr-FR"/>
        </w:rPr>
        <w:t>- Index (So) : valeur connue de l'index (provisoire ou défin</w:t>
      </w:r>
      <w:r w:rsidR="000B7C2A">
        <w:rPr>
          <w:color w:val="000000"/>
          <w:lang w:val="fr-FR"/>
        </w:rPr>
        <w:t>itif) de référence au mois d’octobre 2025</w:t>
      </w:r>
      <w:bookmarkStart w:id="11" w:name="_GoBack"/>
      <w:bookmarkEnd w:id="11"/>
    </w:p>
    <w:p w:rsidR="00EF0B80" w:rsidRPr="00472806" w:rsidRDefault="00EF0B80" w:rsidP="00EF0B80">
      <w:pPr>
        <w:pStyle w:val="ParagrapheIndent2"/>
        <w:spacing w:line="253" w:lineRule="exact"/>
        <w:ind w:left="20" w:right="20"/>
        <w:jc w:val="both"/>
        <w:rPr>
          <w:color w:val="000000"/>
          <w:lang w:val="fr-FR"/>
        </w:rPr>
      </w:pPr>
    </w:p>
    <w:p w:rsidR="00EF0B80" w:rsidRPr="00472806" w:rsidRDefault="00EF0B80" w:rsidP="00EF0B80">
      <w:pPr>
        <w:pStyle w:val="ParagrapheIndent2"/>
        <w:spacing w:after="240" w:line="253" w:lineRule="exact"/>
        <w:ind w:left="20" w:right="20"/>
        <w:jc w:val="both"/>
        <w:rPr>
          <w:color w:val="000000"/>
          <w:lang w:val="fr-FR"/>
        </w:rPr>
      </w:pPr>
      <w:r w:rsidRPr="00472806">
        <w:rPr>
          <w:color w:val="000000"/>
          <w:lang w:val="fr-FR"/>
        </w:rPr>
        <w:t xml:space="preserve">Les prix ainsi révisés sont invariables durant cette période. </w:t>
      </w:r>
    </w:p>
    <w:p w:rsidR="00EF0B80" w:rsidRPr="00472806" w:rsidRDefault="00EF0B80" w:rsidP="00EF0B80">
      <w:pPr>
        <w:pStyle w:val="ParagrapheIndent2"/>
        <w:spacing w:after="240" w:line="253" w:lineRule="exact"/>
        <w:ind w:left="20" w:right="20"/>
        <w:jc w:val="both"/>
        <w:rPr>
          <w:color w:val="000000"/>
          <w:lang w:val="fr-FR"/>
        </w:rPr>
      </w:pPr>
      <w:r w:rsidRPr="00472806">
        <w:rPr>
          <w:color w:val="000000"/>
          <w:lang w:val="fr-FR"/>
        </w:rPr>
        <w:t>La révision définitive des prix s'opère sur la base de la dernière valeur d'index publiée au mois de septembre de l’année de l'application de la formule. Aucune variation provisoire ne sera effectuée.</w:t>
      </w:r>
    </w:p>
    <w:p w:rsidR="00EF0B80" w:rsidRPr="00472806" w:rsidRDefault="00EF0B80" w:rsidP="00EF0B80">
      <w:pPr>
        <w:rPr>
          <w:rFonts w:ascii="Arial" w:hAnsi="Arial" w:cs="Arial"/>
          <w:sz w:val="22"/>
          <w:szCs w:val="22"/>
          <w:lang w:val="fr-FR"/>
        </w:rPr>
      </w:pPr>
      <w:r w:rsidRPr="00472806">
        <w:rPr>
          <w:rFonts w:ascii="Arial" w:hAnsi="Arial" w:cs="Arial"/>
          <w:color w:val="000000"/>
          <w:sz w:val="22"/>
          <w:szCs w:val="22"/>
          <w:lang w:val="fr-FR"/>
        </w:rPr>
        <w:t xml:space="preserve">L'index de référence, publié(s) au Moniteur, est l'index </w:t>
      </w:r>
      <w:proofErr w:type="spellStart"/>
      <w:r w:rsidRPr="00472806">
        <w:rPr>
          <w:rFonts w:ascii="Arial" w:hAnsi="Arial" w:cs="Arial"/>
          <w:color w:val="000000"/>
          <w:sz w:val="22"/>
          <w:szCs w:val="22"/>
          <w:lang w:val="fr-FR"/>
        </w:rPr>
        <w:t>syntec</w:t>
      </w:r>
      <w:proofErr w:type="spellEnd"/>
      <w:r w:rsidRPr="00472806">
        <w:rPr>
          <w:rFonts w:ascii="Arial" w:hAnsi="Arial" w:cs="Arial"/>
          <w:color w:val="000000"/>
          <w:sz w:val="22"/>
          <w:szCs w:val="22"/>
          <w:lang w:val="fr-FR"/>
        </w:rPr>
        <w:t>.</w:t>
      </w:r>
    </w:p>
    <w:p w:rsidR="00EF0B80" w:rsidRPr="00472806" w:rsidRDefault="00EF0B80" w:rsidP="00EF0B80">
      <w:pPr>
        <w:rPr>
          <w:rFonts w:ascii="Arial" w:hAnsi="Arial" w:cs="Arial"/>
          <w:sz w:val="22"/>
          <w:szCs w:val="22"/>
          <w:lang w:val="fr-FR"/>
        </w:rPr>
      </w:pPr>
    </w:p>
    <w:p w:rsidR="002D53E2" w:rsidRPr="00472806" w:rsidRDefault="00D832BF">
      <w:pPr>
        <w:pStyle w:val="Titre1"/>
        <w:rPr>
          <w:rFonts w:eastAsia="Arial"/>
          <w:color w:val="000000"/>
          <w:sz w:val="28"/>
          <w:lang w:val="fr-FR"/>
        </w:rPr>
      </w:pPr>
      <w:bookmarkStart w:id="12" w:name="_Toc256000013"/>
      <w:r w:rsidRPr="00472806">
        <w:rPr>
          <w:rFonts w:eastAsia="Arial"/>
          <w:color w:val="000000"/>
          <w:sz w:val="28"/>
          <w:lang w:val="fr-FR"/>
        </w:rPr>
        <w:t>6 - Garanties Financières</w:t>
      </w:r>
      <w:bookmarkEnd w:id="12"/>
    </w:p>
    <w:p w:rsidR="002D53E2" w:rsidRPr="00472806" w:rsidRDefault="00D832BF">
      <w:pPr>
        <w:pStyle w:val="ParagrapheIndent1"/>
        <w:spacing w:after="240"/>
        <w:ind w:left="20" w:right="20"/>
        <w:jc w:val="both"/>
        <w:rPr>
          <w:color w:val="000000"/>
          <w:lang w:val="fr-FR"/>
        </w:rPr>
      </w:pPr>
      <w:r w:rsidRPr="00472806">
        <w:rPr>
          <w:color w:val="000000"/>
          <w:lang w:val="fr-FR"/>
        </w:rPr>
        <w:t>Aucune clause de garantie financière ne sera appliquée.</w:t>
      </w:r>
    </w:p>
    <w:p w:rsidR="002D53E2" w:rsidRPr="00472806" w:rsidRDefault="00D832BF">
      <w:pPr>
        <w:pStyle w:val="Titre1"/>
        <w:rPr>
          <w:rFonts w:eastAsia="Arial"/>
          <w:color w:val="000000"/>
          <w:sz w:val="28"/>
          <w:lang w:val="fr-FR"/>
        </w:rPr>
      </w:pPr>
      <w:bookmarkStart w:id="13" w:name="_Toc256000014"/>
      <w:r w:rsidRPr="00472806">
        <w:rPr>
          <w:rFonts w:eastAsia="Arial"/>
          <w:color w:val="000000"/>
          <w:sz w:val="28"/>
          <w:lang w:val="fr-FR"/>
        </w:rPr>
        <w:t>7 - Avance</w:t>
      </w:r>
      <w:bookmarkEnd w:id="13"/>
    </w:p>
    <w:p w:rsidR="002D53E2" w:rsidRPr="00472806" w:rsidRDefault="00D832BF">
      <w:pPr>
        <w:pStyle w:val="ParagrapheIndent1"/>
        <w:spacing w:after="240"/>
        <w:ind w:left="20" w:right="20"/>
        <w:jc w:val="both"/>
        <w:rPr>
          <w:color w:val="000000"/>
          <w:lang w:val="fr-FR"/>
        </w:rPr>
      </w:pPr>
      <w:r w:rsidRPr="00472806">
        <w:rPr>
          <w:color w:val="000000"/>
          <w:lang w:val="fr-FR"/>
        </w:rPr>
        <w:t xml:space="preserve">L'option retenue pour le calcul de l'avance est l'option B </w:t>
      </w:r>
      <w:r w:rsidR="004D1906" w:rsidRPr="00472806">
        <w:rPr>
          <w:color w:val="000000"/>
          <w:lang w:val="fr-FR"/>
        </w:rPr>
        <w:t xml:space="preserve">de l’article 11.1 </w:t>
      </w:r>
      <w:r w:rsidRPr="00472806">
        <w:rPr>
          <w:color w:val="000000"/>
          <w:lang w:val="fr-FR"/>
        </w:rPr>
        <w:t>du CCAG - Prestations Intellectuelles.</w:t>
      </w:r>
    </w:p>
    <w:p w:rsidR="002D53E2" w:rsidRPr="00472806" w:rsidRDefault="00D832BF">
      <w:pPr>
        <w:pStyle w:val="Titre2"/>
        <w:ind w:left="300" w:right="20"/>
        <w:jc w:val="both"/>
        <w:rPr>
          <w:rFonts w:eastAsia="Arial"/>
          <w:i w:val="0"/>
          <w:color w:val="000000"/>
          <w:sz w:val="24"/>
          <w:lang w:val="fr-FR"/>
        </w:rPr>
      </w:pPr>
      <w:bookmarkStart w:id="14" w:name="_Toc256000015"/>
      <w:r w:rsidRPr="00472806">
        <w:rPr>
          <w:rFonts w:eastAsia="Arial"/>
          <w:i w:val="0"/>
          <w:color w:val="000000"/>
          <w:sz w:val="24"/>
          <w:lang w:val="fr-FR"/>
        </w:rPr>
        <w:t>7.1 - Conditions de versement et de remboursement</w:t>
      </w:r>
      <w:bookmarkEnd w:id="14"/>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Une avance est accordée au titulaire lorsque le montant initial de la tranche affermie est supérieur à 50 000 € HT et dans la mesure où le délai d'exécution est supérieur à 2 mois, sauf indication contraire de l'acte d'engagement.</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 xml:space="preserve">Le montant de l'avance est fixé à 5,0 % du montant initial, toutes taxes comprises, de la tranche </w:t>
      </w:r>
      <w:proofErr w:type="gramStart"/>
      <w:r w:rsidRPr="00472806">
        <w:rPr>
          <w:color w:val="000000"/>
          <w:lang w:val="fr-FR"/>
        </w:rPr>
        <w:t>affermie ,</w:t>
      </w:r>
      <w:proofErr w:type="gramEnd"/>
      <w:r w:rsidRPr="00472806">
        <w:rPr>
          <w:color w:val="000000"/>
          <w:lang w:val="fr-FR"/>
        </w:rPr>
        <w:t xml:space="preserve"> si sa durée est inférieure ou égale à douze mois ; si cette durée est supérieure à douze mois, l'avance est égale à 5,0 % d'une somme égale à douze fois le montant mentionné ci-dessus divisé par cette durée exprimée en mois.</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 xml:space="preserve">Le montant de l'avance ne peut être affecté par la mise en </w:t>
      </w:r>
      <w:proofErr w:type="spellStart"/>
      <w:r w:rsidRPr="00472806">
        <w:rPr>
          <w:color w:val="000000"/>
          <w:lang w:val="fr-FR"/>
        </w:rPr>
        <w:t>oeuvre</w:t>
      </w:r>
      <w:proofErr w:type="spellEnd"/>
      <w:r w:rsidRPr="00472806">
        <w:rPr>
          <w:color w:val="000000"/>
          <w:lang w:val="fr-FR"/>
        </w:rPr>
        <w:t xml:space="preserve"> d'une clause de variation de prix.</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Le remboursement de l'avance commence lorsque le montant des prestations exécutées par le titulaire atteint ou dépasse 65,0 % du montant toutes taxes comprises de la tranche affermie. Il doit être terminé lorsque ledit montant atteint 80,0 %.</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Ce remboursement s'effectue par précompte sur les sommes dues ultérieurement au titulaire à titre d'acompte ou de solde.</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rsidR="002D53E2" w:rsidRPr="00472806" w:rsidRDefault="00D832BF">
      <w:pPr>
        <w:pStyle w:val="Titre2"/>
        <w:ind w:left="300" w:right="20"/>
        <w:jc w:val="both"/>
        <w:rPr>
          <w:rFonts w:eastAsia="Arial"/>
          <w:i w:val="0"/>
          <w:color w:val="000000"/>
          <w:sz w:val="24"/>
          <w:lang w:val="fr-FR"/>
        </w:rPr>
      </w:pPr>
      <w:bookmarkStart w:id="15" w:name="_Toc256000016"/>
      <w:r w:rsidRPr="00472806">
        <w:rPr>
          <w:rFonts w:eastAsia="Arial"/>
          <w:i w:val="0"/>
          <w:color w:val="000000"/>
          <w:sz w:val="24"/>
          <w:lang w:val="fr-FR"/>
        </w:rPr>
        <w:t>7.2 - Garanties financières de l'avance</w:t>
      </w:r>
      <w:bookmarkEnd w:id="15"/>
    </w:p>
    <w:p w:rsidR="002D53E2" w:rsidRPr="00472806" w:rsidRDefault="00D832BF">
      <w:pPr>
        <w:pStyle w:val="ParagrapheIndent2"/>
        <w:spacing w:after="240"/>
        <w:ind w:left="20" w:right="20"/>
        <w:jc w:val="both"/>
        <w:rPr>
          <w:color w:val="000000"/>
          <w:lang w:val="fr-FR"/>
        </w:rPr>
      </w:pPr>
      <w:r w:rsidRPr="00472806">
        <w:rPr>
          <w:color w:val="000000"/>
          <w:lang w:val="fr-FR"/>
        </w:rPr>
        <w:t>Aucune garantie financière ne sera demandée au titulaire pour le versement de l'avance.</w:t>
      </w:r>
    </w:p>
    <w:p w:rsidR="002D53E2" w:rsidRPr="00472806" w:rsidRDefault="00D832BF">
      <w:pPr>
        <w:pStyle w:val="Titre1"/>
        <w:rPr>
          <w:rFonts w:eastAsia="Arial"/>
          <w:color w:val="000000"/>
          <w:sz w:val="28"/>
          <w:lang w:val="fr-FR"/>
        </w:rPr>
      </w:pPr>
      <w:bookmarkStart w:id="16" w:name="_Toc256000017"/>
      <w:r w:rsidRPr="00472806">
        <w:rPr>
          <w:rFonts w:eastAsia="Arial"/>
          <w:color w:val="000000"/>
          <w:sz w:val="28"/>
          <w:lang w:val="fr-FR"/>
        </w:rPr>
        <w:lastRenderedPageBreak/>
        <w:t>8 - Modalités de règlement des comptes</w:t>
      </w:r>
      <w:bookmarkEnd w:id="16"/>
    </w:p>
    <w:p w:rsidR="002D53E2" w:rsidRPr="00472806" w:rsidRDefault="00D832BF">
      <w:pPr>
        <w:pStyle w:val="Titre2"/>
        <w:ind w:left="300" w:right="20"/>
        <w:jc w:val="both"/>
        <w:rPr>
          <w:rFonts w:eastAsia="Arial"/>
          <w:i w:val="0"/>
          <w:color w:val="000000"/>
          <w:sz w:val="24"/>
          <w:lang w:val="fr-FR"/>
        </w:rPr>
      </w:pPr>
      <w:bookmarkStart w:id="17" w:name="_Toc256000018"/>
      <w:r w:rsidRPr="00472806">
        <w:rPr>
          <w:rFonts w:eastAsia="Arial"/>
          <w:i w:val="0"/>
          <w:color w:val="000000"/>
          <w:sz w:val="24"/>
          <w:lang w:val="fr-FR"/>
        </w:rPr>
        <w:t>8.1 - Acomptes et paiements partiels définitifs</w:t>
      </w:r>
      <w:bookmarkEnd w:id="17"/>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Les modalités de règlement des comptes sont définies dans les conditions de l'article 11 du CCAG-PI.</w:t>
      </w:r>
    </w:p>
    <w:p w:rsidR="002D53E2" w:rsidRPr="00472806" w:rsidRDefault="00D832BF">
      <w:pPr>
        <w:pStyle w:val="Titre2"/>
        <w:ind w:left="300" w:right="20"/>
        <w:jc w:val="both"/>
        <w:rPr>
          <w:rFonts w:eastAsia="Arial"/>
          <w:i w:val="0"/>
          <w:color w:val="000000"/>
          <w:sz w:val="24"/>
          <w:lang w:val="fr-FR"/>
        </w:rPr>
      </w:pPr>
      <w:bookmarkStart w:id="18" w:name="_Toc256000019"/>
      <w:r w:rsidRPr="00472806">
        <w:rPr>
          <w:rFonts w:eastAsia="Arial"/>
          <w:i w:val="0"/>
          <w:color w:val="000000"/>
          <w:sz w:val="24"/>
          <w:lang w:val="fr-FR"/>
        </w:rPr>
        <w:t>8.2 - Présentation des demandes de paiement</w:t>
      </w:r>
      <w:bookmarkEnd w:id="18"/>
    </w:p>
    <w:p w:rsidR="002D53E2" w:rsidRPr="00472806" w:rsidRDefault="00D832BF">
      <w:pPr>
        <w:pStyle w:val="ParagrapheIndent2"/>
        <w:spacing w:line="253" w:lineRule="exact"/>
        <w:ind w:left="20" w:right="20"/>
        <w:jc w:val="both"/>
        <w:rPr>
          <w:color w:val="000000"/>
          <w:lang w:val="fr-FR"/>
        </w:rPr>
      </w:pPr>
      <w:r w:rsidRPr="00472806">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2D53E2" w:rsidRPr="00472806" w:rsidRDefault="002D53E2">
      <w:pPr>
        <w:pStyle w:val="ParagrapheIndent2"/>
        <w:spacing w:line="253" w:lineRule="exact"/>
        <w:ind w:left="20" w:right="20"/>
        <w:jc w:val="both"/>
        <w:rPr>
          <w:color w:val="000000"/>
          <w:lang w:val="fr-FR"/>
        </w:rPr>
      </w:pPr>
    </w:p>
    <w:p w:rsidR="002D53E2" w:rsidRPr="00472806" w:rsidRDefault="00D832BF" w:rsidP="004F2199">
      <w:pPr>
        <w:pStyle w:val="ParagrapheIndent2"/>
        <w:spacing w:after="160" w:line="253" w:lineRule="exact"/>
        <w:ind w:left="20" w:right="20"/>
        <w:jc w:val="both"/>
        <w:rPr>
          <w:color w:val="000000"/>
          <w:lang w:val="fr-FR"/>
        </w:rPr>
      </w:pPr>
      <w:r w:rsidRPr="00472806">
        <w:rPr>
          <w:color w:val="000000"/>
          <w:lang w:val="fr-FR"/>
        </w:rPr>
        <w:t>La date de réception d'une demande de paiement transmise par voi</w:t>
      </w:r>
      <w:r w:rsidR="004F2199" w:rsidRPr="00472806">
        <w:rPr>
          <w:color w:val="000000"/>
          <w:lang w:val="fr-FR"/>
        </w:rPr>
        <w:t xml:space="preserve">e électronique correspond à la </w:t>
      </w:r>
      <w:r w:rsidRPr="00472806">
        <w:rPr>
          <w:color w:val="000000"/>
          <w:lang w:val="fr-FR"/>
        </w:rPr>
        <w:t>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line="253" w:lineRule="exact"/>
        <w:ind w:left="20" w:right="20"/>
        <w:jc w:val="both"/>
        <w:rPr>
          <w:color w:val="000000"/>
          <w:lang w:val="fr-FR"/>
        </w:rPr>
      </w:pPr>
      <w:r w:rsidRPr="00472806">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1° La date d'émission de la facture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2° La désignation de l'émetteur et du destinataire de la facture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3° Le numéro unique basé sur une séquence chronologique et continue établie par l'émetteur de la facture, la numérotation pouvant être établie dans ces conditions sur une ou plusieurs séries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5° La désignation du payeur, avec l'indication, pour les personnes publiques, du code d'identification du service chargé du paiement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6° La date de livraison des fournitures ou d'exécution des services ou des travaux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7° La quantité et la dénomination précise des produits livrés, des prestations et travaux réalisés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8° Le prix unitaire hors taxes des produits livrés, des prestations et travaux réalisés ou, lorsqu'il y a lieu, leur prix forfaitaire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10° L'identification, le cas échéant, du représentant fiscal de l'émetteur de la facture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11° Le cas échéant, les modalités de règlement ;</w:t>
      </w:r>
    </w:p>
    <w:p w:rsidR="002D53E2" w:rsidRPr="00472806" w:rsidRDefault="00D832BF">
      <w:pPr>
        <w:pStyle w:val="ParagrapheIndent2"/>
        <w:spacing w:line="253" w:lineRule="exact"/>
        <w:ind w:left="20" w:right="20"/>
        <w:jc w:val="both"/>
        <w:rPr>
          <w:color w:val="000000"/>
          <w:lang w:val="fr-FR"/>
        </w:rPr>
      </w:pPr>
      <w:r w:rsidRPr="00472806">
        <w:rPr>
          <w:color w:val="000000"/>
          <w:lang w:val="fr-FR"/>
        </w:rPr>
        <w:t>12° Le cas échéant, les renseignements relatifs aux déductions ou versements complémentaires.</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rsidR="002D53E2" w:rsidRPr="00472806" w:rsidRDefault="00D832BF">
      <w:pPr>
        <w:pStyle w:val="Titre2"/>
        <w:ind w:left="300" w:right="20"/>
        <w:jc w:val="both"/>
        <w:rPr>
          <w:rFonts w:eastAsia="Arial"/>
          <w:i w:val="0"/>
          <w:color w:val="000000"/>
          <w:sz w:val="24"/>
          <w:lang w:val="fr-FR"/>
        </w:rPr>
      </w:pPr>
      <w:bookmarkStart w:id="19" w:name="_Toc256000020"/>
      <w:r w:rsidRPr="00472806">
        <w:rPr>
          <w:rFonts w:eastAsia="Arial"/>
          <w:i w:val="0"/>
          <w:color w:val="000000"/>
          <w:sz w:val="24"/>
          <w:lang w:val="fr-FR"/>
        </w:rPr>
        <w:t>8.3 - Délai global de paiement</w:t>
      </w:r>
      <w:bookmarkEnd w:id="19"/>
    </w:p>
    <w:p w:rsidR="002D53E2" w:rsidRPr="00472806" w:rsidRDefault="00D832BF">
      <w:pPr>
        <w:pStyle w:val="ParagrapheIndent2"/>
        <w:spacing w:line="253" w:lineRule="exact"/>
        <w:ind w:left="20" w:right="20"/>
        <w:jc w:val="both"/>
        <w:rPr>
          <w:color w:val="000000"/>
          <w:lang w:val="fr-FR"/>
        </w:rPr>
      </w:pPr>
      <w:r w:rsidRPr="00472806">
        <w:rPr>
          <w:color w:val="000000"/>
          <w:lang w:val="fr-FR"/>
        </w:rPr>
        <w:t>Les sommes dues au(x) titulaire(s) seront payées dans un délai global de 50 jours à compter de la date de réception des demandes de paiement.</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w:t>
      </w:r>
      <w:r w:rsidRPr="00472806">
        <w:rPr>
          <w:color w:val="000000"/>
          <w:lang w:val="fr-FR"/>
        </w:rPr>
        <w:lastRenderedPageBreak/>
        <w:t>civile au cours duquel les intérêts moratoires ont commencé à courir, majoré de huit points de pourcentage.</w:t>
      </w:r>
    </w:p>
    <w:p w:rsidR="002D53E2" w:rsidRPr="00472806" w:rsidRDefault="00D832BF">
      <w:pPr>
        <w:pStyle w:val="Titre2"/>
        <w:ind w:left="300" w:right="20"/>
        <w:jc w:val="both"/>
        <w:rPr>
          <w:rFonts w:eastAsia="Arial"/>
          <w:i w:val="0"/>
          <w:color w:val="000000"/>
          <w:sz w:val="24"/>
          <w:lang w:val="fr-FR"/>
        </w:rPr>
      </w:pPr>
      <w:bookmarkStart w:id="20" w:name="_Toc256000021"/>
      <w:r w:rsidRPr="00472806">
        <w:rPr>
          <w:rFonts w:eastAsia="Arial"/>
          <w:i w:val="0"/>
          <w:color w:val="000000"/>
          <w:sz w:val="24"/>
          <w:lang w:val="fr-FR"/>
        </w:rPr>
        <w:t>8.4 - Paiement des cotraitants</w:t>
      </w:r>
      <w:bookmarkEnd w:id="20"/>
    </w:p>
    <w:p w:rsidR="002D53E2" w:rsidRPr="00472806" w:rsidRDefault="00D832BF">
      <w:pPr>
        <w:pStyle w:val="ParagrapheIndent2"/>
        <w:spacing w:line="253" w:lineRule="exact"/>
        <w:ind w:left="20" w:right="20"/>
        <w:jc w:val="both"/>
        <w:rPr>
          <w:color w:val="000000"/>
          <w:lang w:val="fr-FR"/>
        </w:rPr>
      </w:pPr>
      <w:r w:rsidRPr="00472806">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2D53E2" w:rsidRPr="00472806" w:rsidRDefault="00D832BF" w:rsidP="004F2199">
      <w:pPr>
        <w:pStyle w:val="ParagrapheIndent2"/>
        <w:spacing w:line="253" w:lineRule="exact"/>
        <w:ind w:left="20" w:right="20"/>
        <w:jc w:val="both"/>
        <w:rPr>
          <w:sz w:val="2"/>
          <w:lang w:val="fr-FR"/>
        </w:rPr>
      </w:pPr>
      <w:r w:rsidRPr="00472806">
        <w:rPr>
          <w:color w:val="000000"/>
          <w:lang w:val="fr-FR"/>
        </w:rPr>
        <w:t>Les autres dispositions relatives à la cotraitance s'appliquent selon l'article 12.1 du CCAG-PI.</w:t>
      </w:r>
      <w:r w:rsidRPr="00472806">
        <w:rPr>
          <w:color w:val="000000"/>
          <w:lang w:val="fr-FR"/>
        </w:rPr>
        <w:cr/>
      </w:r>
    </w:p>
    <w:p w:rsidR="002D53E2" w:rsidRPr="00472806" w:rsidRDefault="00D832BF">
      <w:pPr>
        <w:pStyle w:val="Titre2"/>
        <w:ind w:left="300" w:right="20"/>
        <w:jc w:val="both"/>
        <w:rPr>
          <w:rFonts w:eastAsia="Arial"/>
          <w:i w:val="0"/>
          <w:color w:val="000000"/>
          <w:sz w:val="24"/>
          <w:lang w:val="fr-FR"/>
        </w:rPr>
      </w:pPr>
      <w:bookmarkStart w:id="21" w:name="_Toc256000022"/>
      <w:r w:rsidRPr="00472806">
        <w:rPr>
          <w:rFonts w:eastAsia="Arial"/>
          <w:i w:val="0"/>
          <w:color w:val="000000"/>
          <w:sz w:val="24"/>
          <w:lang w:val="fr-FR"/>
        </w:rPr>
        <w:t>8.5 - Paiement des sous-traitants</w:t>
      </w:r>
      <w:bookmarkEnd w:id="21"/>
    </w:p>
    <w:p w:rsidR="002D53E2" w:rsidRPr="00472806" w:rsidRDefault="00D832BF">
      <w:pPr>
        <w:pStyle w:val="ParagrapheIndent2"/>
        <w:spacing w:line="253" w:lineRule="exact"/>
        <w:ind w:left="20" w:right="20"/>
        <w:jc w:val="both"/>
        <w:rPr>
          <w:color w:val="000000"/>
          <w:lang w:val="fr-FR"/>
        </w:rPr>
      </w:pPr>
      <w:r w:rsidRPr="00472806">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En cas de cotraitance, si le titulaire qui a conclu le contrat de sous-traitance n'est pas le mandataire du groupement, ce dernier doit également valider la demande de paiement.</w:t>
      </w:r>
    </w:p>
    <w:p w:rsidR="002D53E2" w:rsidRPr="00472806" w:rsidRDefault="00D832BF">
      <w:pPr>
        <w:pStyle w:val="Titre1"/>
        <w:rPr>
          <w:rFonts w:eastAsia="Arial"/>
          <w:color w:val="000000"/>
          <w:sz w:val="28"/>
          <w:lang w:val="fr-FR"/>
        </w:rPr>
      </w:pPr>
      <w:bookmarkStart w:id="22" w:name="_Toc256000023"/>
      <w:r w:rsidRPr="00472806">
        <w:rPr>
          <w:rFonts w:eastAsia="Arial"/>
          <w:color w:val="000000"/>
          <w:sz w:val="28"/>
          <w:lang w:val="fr-FR"/>
        </w:rPr>
        <w:t>9 - Conditions d'exécution des prestations</w:t>
      </w:r>
      <w:bookmarkEnd w:id="22"/>
    </w:p>
    <w:p w:rsidR="002D53E2" w:rsidRPr="00472806" w:rsidRDefault="00D832BF">
      <w:pPr>
        <w:pStyle w:val="ParagrapheIndent1"/>
        <w:spacing w:after="240" w:line="253" w:lineRule="exact"/>
        <w:ind w:left="20" w:right="20"/>
        <w:jc w:val="both"/>
        <w:rPr>
          <w:color w:val="000000"/>
          <w:lang w:val="fr-FR"/>
        </w:rPr>
      </w:pPr>
      <w:r w:rsidRPr="00472806">
        <w:rPr>
          <w:color w:val="000000"/>
          <w:lang w:val="fr-FR"/>
        </w:rPr>
        <w:t>Les prestations devront être conformes aux stipulations du contrat (les normes et spécifications techniques applicables étant celles en vigueur à la date du contrat).</w:t>
      </w:r>
    </w:p>
    <w:p w:rsidR="002D53E2" w:rsidRPr="00472806" w:rsidRDefault="00D832BF">
      <w:pPr>
        <w:pStyle w:val="Titre2"/>
        <w:ind w:left="300" w:right="20"/>
        <w:jc w:val="both"/>
        <w:rPr>
          <w:rFonts w:eastAsia="Arial"/>
          <w:i w:val="0"/>
          <w:color w:val="000000"/>
          <w:sz w:val="24"/>
          <w:lang w:val="fr-FR"/>
        </w:rPr>
      </w:pPr>
      <w:bookmarkStart w:id="23" w:name="_Toc256000024"/>
      <w:r w:rsidRPr="00472806">
        <w:rPr>
          <w:rFonts w:eastAsia="Arial"/>
          <w:i w:val="0"/>
          <w:color w:val="000000"/>
          <w:sz w:val="24"/>
          <w:lang w:val="fr-FR"/>
        </w:rPr>
        <w:t>9.1 - Présentation des livrables</w:t>
      </w:r>
      <w:bookmarkEnd w:id="23"/>
    </w:p>
    <w:p w:rsidR="002D53E2" w:rsidRPr="00472806" w:rsidRDefault="00046EA3">
      <w:pPr>
        <w:pStyle w:val="ParagrapheIndent2"/>
        <w:spacing w:after="240" w:line="253" w:lineRule="exact"/>
        <w:ind w:left="20" w:right="20"/>
        <w:jc w:val="both"/>
        <w:rPr>
          <w:color w:val="000000"/>
          <w:lang w:val="fr-FR"/>
        </w:rPr>
      </w:pPr>
      <w:r w:rsidRPr="00472806">
        <w:rPr>
          <w:color w:val="000000"/>
          <w:lang w:val="fr-FR"/>
        </w:rPr>
        <w:t xml:space="preserve">Les livrables consistant en une saisie sur le portail </w:t>
      </w:r>
      <w:proofErr w:type="spellStart"/>
      <w:r w:rsidRPr="00472806">
        <w:rPr>
          <w:color w:val="000000"/>
          <w:lang w:val="fr-FR"/>
        </w:rPr>
        <w:t>Synaé</w:t>
      </w:r>
      <w:proofErr w:type="spellEnd"/>
      <w:r w:rsidRPr="00472806">
        <w:rPr>
          <w:color w:val="000000"/>
          <w:lang w:val="fr-FR"/>
        </w:rPr>
        <w:t>, les dispositions du CCAG-PI ne sont pas applicables sur ce sujet.</w:t>
      </w:r>
    </w:p>
    <w:p w:rsidR="002D53E2" w:rsidRPr="00472806" w:rsidRDefault="00D832BF">
      <w:pPr>
        <w:pStyle w:val="Titre2"/>
        <w:ind w:left="300" w:right="20"/>
        <w:jc w:val="both"/>
        <w:rPr>
          <w:rFonts w:eastAsia="Arial"/>
          <w:i w:val="0"/>
          <w:color w:val="000000"/>
          <w:sz w:val="24"/>
          <w:lang w:val="fr-FR"/>
        </w:rPr>
      </w:pPr>
      <w:bookmarkStart w:id="24" w:name="_Toc256000025"/>
      <w:r w:rsidRPr="00472806">
        <w:rPr>
          <w:rFonts w:eastAsia="Arial"/>
          <w:i w:val="0"/>
          <w:color w:val="000000"/>
          <w:sz w:val="24"/>
          <w:lang w:val="fr-FR"/>
        </w:rPr>
        <w:t>9.2 - Modifications techniques</w:t>
      </w:r>
      <w:bookmarkEnd w:id="24"/>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p w:rsidR="002D53E2" w:rsidRPr="00472806" w:rsidRDefault="00D832BF">
      <w:pPr>
        <w:pStyle w:val="Titre1"/>
        <w:rPr>
          <w:rFonts w:eastAsia="Arial"/>
          <w:color w:val="000000"/>
          <w:sz w:val="28"/>
          <w:lang w:val="fr-FR"/>
        </w:rPr>
      </w:pPr>
      <w:bookmarkStart w:id="25" w:name="_Toc256000026"/>
      <w:r w:rsidRPr="00472806">
        <w:rPr>
          <w:rFonts w:eastAsia="Arial"/>
          <w:color w:val="000000"/>
          <w:sz w:val="28"/>
          <w:lang w:val="fr-FR"/>
        </w:rPr>
        <w:t>10 - Droit de propriété intellectuelle</w:t>
      </w:r>
      <w:bookmarkEnd w:id="25"/>
    </w:p>
    <w:p w:rsidR="002D53E2" w:rsidRPr="00472806" w:rsidRDefault="00C16FE8">
      <w:pPr>
        <w:pStyle w:val="ParagrapheIndent1"/>
        <w:spacing w:line="253" w:lineRule="exact"/>
        <w:ind w:left="20" w:right="20"/>
        <w:jc w:val="both"/>
        <w:rPr>
          <w:color w:val="000000"/>
          <w:lang w:val="fr-FR"/>
        </w:rPr>
      </w:pPr>
      <w:r w:rsidRPr="00472806">
        <w:rPr>
          <w:color w:val="000000"/>
          <w:lang w:val="fr-FR"/>
        </w:rPr>
        <w:t>Le Chapitre 6 : Utilisation des résultats (Articles 32 à 35)</w:t>
      </w:r>
      <w:r w:rsidR="00D832BF" w:rsidRPr="00472806">
        <w:rPr>
          <w:color w:val="000000"/>
          <w:lang w:val="fr-FR"/>
        </w:rPr>
        <w:t xml:space="preserve"> </w:t>
      </w:r>
      <w:r w:rsidRPr="00472806">
        <w:rPr>
          <w:color w:val="000000"/>
          <w:lang w:val="fr-FR"/>
        </w:rPr>
        <w:t>du CCAG-PI est applicable.</w:t>
      </w:r>
    </w:p>
    <w:p w:rsidR="002D53E2" w:rsidRPr="00472806" w:rsidRDefault="002D53E2">
      <w:pPr>
        <w:pStyle w:val="ParagrapheIndent1"/>
        <w:spacing w:line="253" w:lineRule="exact"/>
        <w:ind w:left="20" w:right="20"/>
        <w:jc w:val="both"/>
        <w:rPr>
          <w:color w:val="000000"/>
          <w:lang w:val="fr-FR"/>
        </w:rPr>
      </w:pPr>
    </w:p>
    <w:p w:rsidR="002D53E2" w:rsidRPr="00472806" w:rsidRDefault="00C16FE8">
      <w:pPr>
        <w:pStyle w:val="ParagrapheIndent1"/>
        <w:spacing w:after="240" w:line="253" w:lineRule="exact"/>
        <w:ind w:left="20" w:right="20"/>
        <w:jc w:val="both"/>
        <w:rPr>
          <w:color w:val="000000"/>
          <w:lang w:val="fr-FR"/>
        </w:rPr>
      </w:pPr>
      <w:r w:rsidRPr="00472806">
        <w:rPr>
          <w:color w:val="000000"/>
          <w:lang w:val="fr-FR"/>
        </w:rPr>
        <w:t xml:space="preserve">De plus l’acheteur pourra transmettre les résultats </w:t>
      </w:r>
      <w:r w:rsidR="00D832BF" w:rsidRPr="00472806">
        <w:rPr>
          <w:color w:val="000000"/>
          <w:lang w:val="fr-FR"/>
        </w:rPr>
        <w:t xml:space="preserve">aux organismes </w:t>
      </w:r>
      <w:proofErr w:type="gramStart"/>
      <w:r w:rsidRPr="00472806">
        <w:rPr>
          <w:color w:val="000000"/>
          <w:lang w:val="fr-FR"/>
        </w:rPr>
        <w:t xml:space="preserve">institutionnels </w:t>
      </w:r>
      <w:r w:rsidR="00D832BF" w:rsidRPr="00472806">
        <w:rPr>
          <w:color w:val="000000"/>
          <w:lang w:val="fr-FR"/>
        </w:rPr>
        <w:t xml:space="preserve"> intéressés</w:t>
      </w:r>
      <w:proofErr w:type="gramEnd"/>
      <w:r w:rsidR="00D832BF" w:rsidRPr="00472806">
        <w:rPr>
          <w:color w:val="000000"/>
          <w:lang w:val="fr-FR"/>
        </w:rPr>
        <w:t xml:space="preserve"> par le projet.</w:t>
      </w:r>
    </w:p>
    <w:p w:rsidR="002D53E2" w:rsidRPr="00472806" w:rsidRDefault="00D832BF">
      <w:pPr>
        <w:pStyle w:val="Titre1"/>
        <w:rPr>
          <w:rFonts w:eastAsia="Arial"/>
          <w:color w:val="000000"/>
          <w:sz w:val="28"/>
          <w:lang w:val="fr-FR"/>
        </w:rPr>
      </w:pPr>
      <w:bookmarkStart w:id="26" w:name="_Toc256000027"/>
      <w:r w:rsidRPr="00472806">
        <w:rPr>
          <w:rFonts w:eastAsia="Arial"/>
          <w:color w:val="000000"/>
          <w:sz w:val="28"/>
          <w:lang w:val="fr-FR"/>
        </w:rPr>
        <w:t>11 - Constatation de l'exécution des prestations</w:t>
      </w:r>
      <w:bookmarkEnd w:id="26"/>
    </w:p>
    <w:p w:rsidR="002D53E2" w:rsidRPr="00472806" w:rsidRDefault="00D832BF">
      <w:pPr>
        <w:pStyle w:val="Titre2"/>
        <w:ind w:left="300" w:right="20"/>
        <w:jc w:val="both"/>
        <w:rPr>
          <w:rFonts w:eastAsia="Arial"/>
          <w:i w:val="0"/>
          <w:color w:val="000000"/>
          <w:sz w:val="24"/>
          <w:lang w:val="fr-FR"/>
        </w:rPr>
      </w:pPr>
      <w:bookmarkStart w:id="27" w:name="_Toc256000028"/>
      <w:r w:rsidRPr="00472806">
        <w:rPr>
          <w:rFonts w:eastAsia="Arial"/>
          <w:i w:val="0"/>
          <w:color w:val="000000"/>
          <w:sz w:val="24"/>
          <w:lang w:val="fr-FR"/>
        </w:rPr>
        <w:t>11.1 - Vérifications</w:t>
      </w:r>
      <w:bookmarkEnd w:id="27"/>
    </w:p>
    <w:p w:rsidR="002D53E2" w:rsidRPr="00472806" w:rsidRDefault="0044008A">
      <w:pPr>
        <w:pStyle w:val="ParagrapheIndent2"/>
        <w:spacing w:line="253" w:lineRule="exact"/>
        <w:ind w:left="20" w:right="20"/>
        <w:jc w:val="both"/>
        <w:rPr>
          <w:color w:val="000000"/>
          <w:lang w:val="fr-FR"/>
        </w:rPr>
      </w:pPr>
      <w:r w:rsidRPr="00472806">
        <w:rPr>
          <w:color w:val="000000"/>
          <w:lang w:val="fr-FR"/>
        </w:rPr>
        <w:t xml:space="preserve">Par dérogation </w:t>
      </w:r>
      <w:r w:rsidR="0070618F" w:rsidRPr="00472806">
        <w:rPr>
          <w:color w:val="000000"/>
          <w:lang w:val="fr-FR"/>
        </w:rPr>
        <w:t>à</w:t>
      </w:r>
      <w:r w:rsidR="000C2512" w:rsidRPr="00472806">
        <w:rPr>
          <w:color w:val="000000"/>
          <w:lang w:val="fr-FR"/>
        </w:rPr>
        <w:t xml:space="preserve"> </w:t>
      </w:r>
      <w:r w:rsidR="0070618F" w:rsidRPr="00472806">
        <w:rPr>
          <w:color w:val="000000"/>
          <w:lang w:val="fr-FR"/>
        </w:rPr>
        <w:t>l’</w:t>
      </w:r>
      <w:r w:rsidR="00D832BF" w:rsidRPr="00472806">
        <w:rPr>
          <w:color w:val="000000"/>
          <w:lang w:val="fr-FR"/>
        </w:rPr>
        <w:t xml:space="preserve">article </w:t>
      </w:r>
      <w:r w:rsidR="0070618F" w:rsidRPr="00472806">
        <w:rPr>
          <w:color w:val="000000"/>
          <w:lang w:val="fr-FR"/>
        </w:rPr>
        <w:t>28</w:t>
      </w:r>
      <w:r w:rsidR="00D832BF" w:rsidRPr="00472806">
        <w:rPr>
          <w:color w:val="000000"/>
          <w:lang w:val="fr-FR"/>
        </w:rPr>
        <w:t xml:space="preserve"> du CCAG-PI</w:t>
      </w:r>
      <w:r w:rsidRPr="00472806">
        <w:rPr>
          <w:color w:val="000000"/>
          <w:lang w:val="fr-FR"/>
        </w:rPr>
        <w:t xml:space="preserve">, la saisine par le titulaire du rapport dans la plateforme </w:t>
      </w:r>
      <w:proofErr w:type="spellStart"/>
      <w:r w:rsidRPr="00472806">
        <w:rPr>
          <w:color w:val="000000"/>
          <w:lang w:val="fr-FR"/>
        </w:rPr>
        <w:t>Synaé</w:t>
      </w:r>
      <w:proofErr w:type="spellEnd"/>
      <w:r w:rsidRPr="00472806">
        <w:rPr>
          <w:color w:val="000000"/>
          <w:lang w:val="fr-FR"/>
        </w:rPr>
        <w:t xml:space="preserve"> tiendra lieu de vérification.</w:t>
      </w:r>
    </w:p>
    <w:p w:rsidR="0044008A" w:rsidRPr="00472806" w:rsidRDefault="0044008A" w:rsidP="0044008A">
      <w:pPr>
        <w:rPr>
          <w:lang w:val="fr-FR"/>
        </w:rPr>
      </w:pPr>
    </w:p>
    <w:p w:rsidR="002D53E2" w:rsidRPr="00472806" w:rsidRDefault="00D832BF">
      <w:pPr>
        <w:pStyle w:val="Titre2"/>
        <w:ind w:left="300" w:right="20"/>
        <w:jc w:val="both"/>
        <w:rPr>
          <w:rFonts w:eastAsia="Arial"/>
          <w:i w:val="0"/>
          <w:color w:val="000000"/>
          <w:sz w:val="24"/>
          <w:lang w:val="fr-FR"/>
        </w:rPr>
      </w:pPr>
      <w:bookmarkStart w:id="28" w:name="_Toc256000029"/>
      <w:r w:rsidRPr="00472806">
        <w:rPr>
          <w:rFonts w:eastAsia="Arial"/>
          <w:i w:val="0"/>
          <w:color w:val="000000"/>
          <w:sz w:val="24"/>
          <w:lang w:val="fr-FR"/>
        </w:rPr>
        <w:t>11.2 - Décision après vérification</w:t>
      </w:r>
      <w:bookmarkEnd w:id="28"/>
    </w:p>
    <w:p w:rsidR="002D53E2" w:rsidRPr="00472806" w:rsidRDefault="00D832BF" w:rsidP="000C2512">
      <w:pPr>
        <w:pStyle w:val="ParagrapheIndent2"/>
        <w:spacing w:line="253" w:lineRule="exact"/>
        <w:ind w:left="20" w:right="20"/>
        <w:jc w:val="both"/>
        <w:rPr>
          <w:sz w:val="2"/>
          <w:lang w:val="fr-FR"/>
        </w:rPr>
      </w:pPr>
      <w:r w:rsidRPr="00472806">
        <w:rPr>
          <w:color w:val="000000"/>
          <w:lang w:val="fr-FR"/>
        </w:rPr>
        <w:t>A l'issue des opérations de vérification, le pouvoir adjudicateur prendra sa décision dans les conditions prévues à l'article 2</w:t>
      </w:r>
      <w:r w:rsidR="0070618F" w:rsidRPr="00472806">
        <w:rPr>
          <w:color w:val="000000"/>
          <w:lang w:val="fr-FR"/>
        </w:rPr>
        <w:t>9</w:t>
      </w:r>
      <w:r w:rsidRPr="00472806">
        <w:rPr>
          <w:color w:val="000000"/>
          <w:lang w:val="fr-FR"/>
        </w:rPr>
        <w:t xml:space="preserve"> du CCAG-PI.</w:t>
      </w:r>
      <w:r w:rsidRPr="00472806">
        <w:rPr>
          <w:color w:val="000000"/>
          <w:lang w:val="fr-FR"/>
        </w:rPr>
        <w:cr/>
      </w:r>
    </w:p>
    <w:p w:rsidR="002D53E2" w:rsidRPr="00472806" w:rsidRDefault="00D832BF">
      <w:pPr>
        <w:pStyle w:val="Titre1"/>
        <w:rPr>
          <w:rFonts w:eastAsia="Arial"/>
          <w:color w:val="000000"/>
          <w:sz w:val="28"/>
          <w:lang w:val="fr-FR"/>
        </w:rPr>
      </w:pPr>
      <w:bookmarkStart w:id="29" w:name="_Toc256000030"/>
      <w:r w:rsidRPr="00472806">
        <w:rPr>
          <w:rFonts w:eastAsia="Arial"/>
          <w:color w:val="000000"/>
          <w:sz w:val="28"/>
          <w:lang w:val="fr-FR"/>
        </w:rPr>
        <w:t>12 - Garantie des prestations</w:t>
      </w:r>
      <w:bookmarkEnd w:id="29"/>
    </w:p>
    <w:p w:rsidR="002D53E2" w:rsidRPr="00472806" w:rsidRDefault="00D832BF">
      <w:pPr>
        <w:pStyle w:val="ParagrapheIndent1"/>
        <w:spacing w:after="240"/>
        <w:ind w:left="20" w:right="20"/>
        <w:jc w:val="both"/>
        <w:rPr>
          <w:color w:val="000000"/>
          <w:lang w:val="fr-FR"/>
        </w:rPr>
      </w:pPr>
      <w:r w:rsidRPr="00472806">
        <w:rPr>
          <w:color w:val="000000"/>
          <w:lang w:val="fr-FR"/>
        </w:rPr>
        <w:t>Aucune garantie n'est prévue.</w:t>
      </w:r>
    </w:p>
    <w:p w:rsidR="002D53E2" w:rsidRPr="00472806" w:rsidRDefault="00D832BF">
      <w:pPr>
        <w:pStyle w:val="Titre1"/>
        <w:rPr>
          <w:rFonts w:eastAsia="Arial"/>
          <w:color w:val="000000"/>
          <w:sz w:val="28"/>
          <w:lang w:val="fr-FR"/>
        </w:rPr>
      </w:pPr>
      <w:bookmarkStart w:id="30" w:name="_Toc256000031"/>
      <w:r w:rsidRPr="00472806">
        <w:rPr>
          <w:rFonts w:eastAsia="Arial"/>
          <w:color w:val="000000"/>
          <w:sz w:val="28"/>
          <w:lang w:val="fr-FR"/>
        </w:rPr>
        <w:lastRenderedPageBreak/>
        <w:t>13 - Pénalités</w:t>
      </w:r>
      <w:bookmarkEnd w:id="30"/>
    </w:p>
    <w:p w:rsidR="002D53E2" w:rsidRPr="00472806" w:rsidRDefault="00D832BF">
      <w:pPr>
        <w:pStyle w:val="Titre2"/>
        <w:ind w:left="300" w:right="20"/>
        <w:jc w:val="both"/>
        <w:rPr>
          <w:rFonts w:eastAsia="Arial"/>
          <w:i w:val="0"/>
          <w:color w:val="000000"/>
          <w:sz w:val="24"/>
          <w:lang w:val="fr-FR"/>
        </w:rPr>
      </w:pPr>
      <w:bookmarkStart w:id="31" w:name="_Toc256000032"/>
      <w:r w:rsidRPr="00472806">
        <w:rPr>
          <w:rFonts w:eastAsia="Arial"/>
          <w:i w:val="0"/>
          <w:color w:val="000000"/>
          <w:sz w:val="24"/>
          <w:lang w:val="fr-FR"/>
        </w:rPr>
        <w:t>13.1 - Pénalités de retard</w:t>
      </w:r>
      <w:bookmarkEnd w:id="31"/>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 xml:space="preserve">Lorsque le délai contractuel d'exécution ou de livraison est dépassé, </w:t>
      </w:r>
      <w:r w:rsidR="008F5C91" w:rsidRPr="00472806">
        <w:rPr>
          <w:color w:val="000000"/>
          <w:lang w:val="fr-FR"/>
        </w:rPr>
        <w:t xml:space="preserve">pour chaque rapport considéré individuellement, </w:t>
      </w:r>
      <w:r w:rsidRPr="00472806">
        <w:rPr>
          <w:color w:val="000000"/>
          <w:lang w:val="fr-FR"/>
        </w:rPr>
        <w:t>par le fait du titulaire, celui-ci encourt, par jour de retard, une pénali</w:t>
      </w:r>
      <w:r w:rsidR="0044008A" w:rsidRPr="00472806">
        <w:rPr>
          <w:color w:val="000000"/>
          <w:lang w:val="fr-FR"/>
        </w:rPr>
        <w:t>té fixée à 1</w:t>
      </w:r>
      <w:r w:rsidRPr="00472806">
        <w:rPr>
          <w:color w:val="000000"/>
          <w:lang w:val="fr-FR"/>
        </w:rPr>
        <w:t>00,00 €.</w:t>
      </w:r>
    </w:p>
    <w:p w:rsidR="0044008A" w:rsidRPr="00472806" w:rsidRDefault="0044008A">
      <w:pPr>
        <w:pStyle w:val="ParagrapheIndent2"/>
        <w:spacing w:after="240" w:line="253" w:lineRule="exact"/>
        <w:ind w:left="20" w:right="20"/>
        <w:jc w:val="both"/>
        <w:rPr>
          <w:color w:val="000000"/>
          <w:lang w:val="fr-FR"/>
        </w:rPr>
      </w:pPr>
      <w:r w:rsidRPr="00472806">
        <w:rPr>
          <w:color w:val="000000"/>
          <w:lang w:val="fr-FR"/>
        </w:rPr>
        <w:t>Par dérogation à l'article 14.1.2 du CCAG-PI, les pénalités de retard ne sont pas plafonnées.</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Par dérogation à l'article 14</w:t>
      </w:r>
      <w:r w:rsidR="0044008A" w:rsidRPr="00472806">
        <w:rPr>
          <w:color w:val="000000"/>
          <w:lang w:val="fr-FR"/>
        </w:rPr>
        <w:t>.1.</w:t>
      </w:r>
      <w:r w:rsidRPr="00472806">
        <w:rPr>
          <w:color w:val="000000"/>
          <w:lang w:val="fr-FR"/>
        </w:rPr>
        <w:t>3 du CCAG-PI, il n'est prévu aucune exonération à l'application des pénalités de retard.</w:t>
      </w:r>
    </w:p>
    <w:p w:rsidR="0044008A" w:rsidRPr="00472806" w:rsidRDefault="0044008A" w:rsidP="0044008A">
      <w:pPr>
        <w:rPr>
          <w:lang w:val="fr-FR"/>
        </w:rPr>
      </w:pPr>
    </w:p>
    <w:p w:rsidR="002D53E2" w:rsidRPr="00472806" w:rsidRDefault="00D832BF">
      <w:pPr>
        <w:pStyle w:val="Titre1"/>
        <w:rPr>
          <w:rFonts w:eastAsia="Arial"/>
          <w:color w:val="000000"/>
          <w:sz w:val="28"/>
          <w:lang w:val="fr-FR"/>
        </w:rPr>
      </w:pPr>
      <w:bookmarkStart w:id="32" w:name="_Toc256000033"/>
      <w:r w:rsidRPr="00472806">
        <w:rPr>
          <w:rFonts w:eastAsia="Arial"/>
          <w:color w:val="000000"/>
          <w:sz w:val="28"/>
          <w:lang w:val="fr-FR"/>
        </w:rPr>
        <w:t>14 - Assurances</w:t>
      </w:r>
      <w:bookmarkEnd w:id="32"/>
    </w:p>
    <w:p w:rsidR="002D53E2" w:rsidRPr="00472806" w:rsidRDefault="00D832BF">
      <w:pPr>
        <w:pStyle w:val="ParagrapheIndent1"/>
        <w:spacing w:after="240" w:line="253" w:lineRule="exact"/>
        <w:ind w:left="20" w:right="20"/>
        <w:jc w:val="both"/>
        <w:rPr>
          <w:color w:val="000000"/>
          <w:lang w:val="fr-FR"/>
        </w:rPr>
      </w:pPr>
      <w:r w:rsidRPr="00472806">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2D53E2" w:rsidRPr="00472806" w:rsidRDefault="00D832BF">
      <w:pPr>
        <w:pStyle w:val="Titre1"/>
        <w:rPr>
          <w:rFonts w:eastAsia="Arial"/>
          <w:color w:val="000000"/>
          <w:sz w:val="28"/>
          <w:lang w:val="fr-FR"/>
        </w:rPr>
      </w:pPr>
      <w:bookmarkStart w:id="33" w:name="_Toc256000034"/>
      <w:r w:rsidRPr="00472806">
        <w:rPr>
          <w:rFonts w:eastAsia="Arial"/>
          <w:color w:val="000000"/>
          <w:sz w:val="28"/>
          <w:lang w:val="fr-FR"/>
        </w:rPr>
        <w:t>15 - Résiliation du contrat</w:t>
      </w:r>
      <w:bookmarkEnd w:id="33"/>
    </w:p>
    <w:p w:rsidR="002D53E2" w:rsidRPr="00472806" w:rsidRDefault="00D832BF">
      <w:pPr>
        <w:pStyle w:val="Titre2"/>
        <w:ind w:left="300" w:right="20"/>
        <w:jc w:val="both"/>
        <w:rPr>
          <w:rFonts w:eastAsia="Arial"/>
          <w:i w:val="0"/>
          <w:color w:val="000000"/>
          <w:sz w:val="24"/>
          <w:lang w:val="fr-FR"/>
        </w:rPr>
      </w:pPr>
      <w:bookmarkStart w:id="34" w:name="_Toc256000035"/>
      <w:r w:rsidRPr="00472806">
        <w:rPr>
          <w:rFonts w:eastAsia="Arial"/>
          <w:i w:val="0"/>
          <w:color w:val="000000"/>
          <w:sz w:val="24"/>
          <w:lang w:val="fr-FR"/>
        </w:rPr>
        <w:t>15.1 - Conditions de résiliation</w:t>
      </w:r>
      <w:bookmarkEnd w:id="34"/>
    </w:p>
    <w:p w:rsidR="002D53E2" w:rsidRPr="00472806" w:rsidRDefault="00D832BF">
      <w:pPr>
        <w:pStyle w:val="ParagrapheIndent2"/>
        <w:spacing w:after="240"/>
        <w:ind w:left="20" w:right="20"/>
        <w:jc w:val="both"/>
        <w:rPr>
          <w:color w:val="000000"/>
          <w:lang w:val="fr-FR"/>
        </w:rPr>
      </w:pPr>
      <w:r w:rsidRPr="00472806">
        <w:rPr>
          <w:color w:val="000000"/>
          <w:lang w:val="fr-FR"/>
        </w:rPr>
        <w:t>Les conditions de résiliation du marc</w:t>
      </w:r>
      <w:r w:rsidR="0044008A" w:rsidRPr="00472806">
        <w:rPr>
          <w:color w:val="000000"/>
          <w:lang w:val="fr-FR"/>
        </w:rPr>
        <w:t>hé sont définies aux articles 36 à 42</w:t>
      </w:r>
      <w:r w:rsidRPr="00472806">
        <w:rPr>
          <w:color w:val="000000"/>
          <w:lang w:val="fr-FR"/>
        </w:rPr>
        <w:t xml:space="preserve"> du CCAG-PI.</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rsidR="002D53E2" w:rsidRPr="00472806" w:rsidRDefault="00D832BF">
      <w:pPr>
        <w:pStyle w:val="ParagrapheIndent2"/>
        <w:spacing w:after="240" w:line="253" w:lineRule="exact"/>
        <w:ind w:left="20" w:right="20"/>
        <w:jc w:val="both"/>
        <w:rPr>
          <w:color w:val="000000"/>
          <w:lang w:val="fr-FR"/>
        </w:rPr>
      </w:pPr>
      <w:r w:rsidRPr="00472806">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2D53E2" w:rsidRPr="00472806" w:rsidRDefault="00D832BF">
      <w:pPr>
        <w:pStyle w:val="Titre2"/>
        <w:ind w:left="300" w:right="20"/>
        <w:jc w:val="both"/>
        <w:rPr>
          <w:rFonts w:eastAsia="Arial"/>
          <w:i w:val="0"/>
          <w:color w:val="000000"/>
          <w:sz w:val="24"/>
          <w:lang w:val="fr-FR"/>
        </w:rPr>
      </w:pPr>
      <w:bookmarkStart w:id="35" w:name="_Toc256000036"/>
      <w:r w:rsidRPr="00472806">
        <w:rPr>
          <w:rFonts w:eastAsia="Arial"/>
          <w:i w:val="0"/>
          <w:color w:val="000000"/>
          <w:sz w:val="24"/>
          <w:lang w:val="fr-FR"/>
        </w:rPr>
        <w:t>15.2 - Redressement ou liquidation judiciaire</w:t>
      </w:r>
      <w:bookmarkEnd w:id="35"/>
    </w:p>
    <w:p w:rsidR="002D53E2" w:rsidRPr="00472806" w:rsidRDefault="00D832BF">
      <w:pPr>
        <w:pStyle w:val="ParagrapheIndent2"/>
        <w:spacing w:line="253" w:lineRule="exact"/>
        <w:ind w:left="20" w:right="20"/>
        <w:jc w:val="both"/>
        <w:rPr>
          <w:color w:val="000000"/>
          <w:lang w:val="fr-FR"/>
        </w:rPr>
      </w:pPr>
      <w:r w:rsidRPr="00472806">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line="253" w:lineRule="exact"/>
        <w:ind w:left="20" w:right="20"/>
        <w:jc w:val="both"/>
        <w:rPr>
          <w:color w:val="000000"/>
          <w:lang w:val="fr-FR"/>
        </w:rPr>
      </w:pPr>
      <w:r w:rsidRPr="00472806">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2D53E2" w:rsidRPr="00472806" w:rsidRDefault="002D53E2">
      <w:pPr>
        <w:pStyle w:val="ParagrapheIndent2"/>
        <w:spacing w:line="253" w:lineRule="exact"/>
        <w:ind w:left="20" w:right="20"/>
        <w:jc w:val="both"/>
        <w:rPr>
          <w:color w:val="000000"/>
          <w:lang w:val="fr-FR"/>
        </w:rPr>
      </w:pPr>
    </w:p>
    <w:p w:rsidR="002D53E2" w:rsidRPr="00472806" w:rsidRDefault="00D832BF">
      <w:pPr>
        <w:pStyle w:val="ParagrapheIndent2"/>
        <w:spacing w:line="253" w:lineRule="exact"/>
        <w:ind w:left="20" w:right="20"/>
        <w:jc w:val="both"/>
        <w:rPr>
          <w:color w:val="000000"/>
          <w:lang w:val="fr-FR"/>
        </w:rPr>
      </w:pPr>
      <w:r w:rsidRPr="00472806">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2D53E2" w:rsidRPr="00472806" w:rsidRDefault="002D53E2">
      <w:pPr>
        <w:pStyle w:val="ParagrapheIndent2"/>
        <w:spacing w:line="253" w:lineRule="exact"/>
        <w:ind w:left="20" w:right="20"/>
        <w:jc w:val="both"/>
        <w:rPr>
          <w:color w:val="000000"/>
          <w:lang w:val="fr-FR"/>
        </w:rPr>
      </w:pPr>
    </w:p>
    <w:p w:rsidR="002D53E2" w:rsidRPr="00472806" w:rsidRDefault="00D832BF" w:rsidP="004F2199">
      <w:pPr>
        <w:pStyle w:val="ParagrapheIndent2"/>
        <w:spacing w:after="20" w:line="253" w:lineRule="exact"/>
        <w:ind w:left="20" w:right="20"/>
        <w:jc w:val="both"/>
        <w:rPr>
          <w:color w:val="000000"/>
          <w:lang w:val="fr-FR"/>
        </w:rPr>
      </w:pPr>
      <w:r w:rsidRPr="00472806">
        <w:rPr>
          <w:color w:val="000000"/>
          <w:lang w:val="fr-FR"/>
        </w:rPr>
        <w:t xml:space="preserve">La résiliation prend effet à la date de décision de l'administrateur, du liquidateur ou du titulaire de </w:t>
      </w:r>
      <w:r w:rsidRPr="00472806">
        <w:rPr>
          <w:color w:val="000000"/>
          <w:lang w:val="fr-FR"/>
        </w:rPr>
        <w:cr/>
      </w:r>
      <w:proofErr w:type="gramStart"/>
      <w:r w:rsidRPr="00472806">
        <w:rPr>
          <w:color w:val="000000"/>
          <w:lang w:val="fr-FR"/>
        </w:rPr>
        <w:t>renoncer</w:t>
      </w:r>
      <w:proofErr w:type="gramEnd"/>
      <w:r w:rsidRPr="00472806">
        <w:rPr>
          <w:color w:val="000000"/>
          <w:lang w:val="fr-FR"/>
        </w:rPr>
        <w:t xml:space="preserve"> à poursuivre l'exécution du marché, ou à l'expiration du délai d'un mois ci-dessus. Elle n'ouvre droit, pour le titulaire, à aucune indemnité.</w:t>
      </w:r>
    </w:p>
    <w:p w:rsidR="002D53E2" w:rsidRPr="00472806" w:rsidRDefault="00D832BF">
      <w:pPr>
        <w:pStyle w:val="Titre1"/>
        <w:rPr>
          <w:rFonts w:eastAsia="Arial"/>
          <w:color w:val="000000"/>
          <w:sz w:val="28"/>
          <w:lang w:val="fr-FR"/>
        </w:rPr>
      </w:pPr>
      <w:bookmarkStart w:id="36" w:name="_Toc256000037"/>
      <w:r w:rsidRPr="00472806">
        <w:rPr>
          <w:rFonts w:eastAsia="Arial"/>
          <w:color w:val="000000"/>
          <w:sz w:val="28"/>
          <w:lang w:val="fr-FR"/>
        </w:rPr>
        <w:lastRenderedPageBreak/>
        <w:t>16 - Règlement des litiges et langues</w:t>
      </w:r>
      <w:bookmarkEnd w:id="36"/>
    </w:p>
    <w:p w:rsidR="002D53E2" w:rsidRPr="00472806" w:rsidRDefault="00D832BF">
      <w:pPr>
        <w:pStyle w:val="ParagrapheIndent1"/>
        <w:spacing w:after="240"/>
        <w:ind w:left="20" w:right="20"/>
        <w:jc w:val="both"/>
        <w:rPr>
          <w:color w:val="000000"/>
          <w:lang w:val="fr-FR"/>
        </w:rPr>
      </w:pPr>
      <w:r w:rsidRPr="00472806">
        <w:rPr>
          <w:color w:val="000000"/>
          <w:lang w:val="fr-FR"/>
        </w:rPr>
        <w:t>En cas de litige, seul le Tribunal Administratif de Clermont-Ferrand est compétent en la matière.</w:t>
      </w:r>
    </w:p>
    <w:p w:rsidR="002D53E2" w:rsidRPr="00472806" w:rsidRDefault="00D832BF">
      <w:pPr>
        <w:pStyle w:val="ParagrapheIndent1"/>
        <w:spacing w:after="240" w:line="253" w:lineRule="exact"/>
        <w:ind w:left="20" w:right="20"/>
        <w:jc w:val="both"/>
        <w:rPr>
          <w:color w:val="000000"/>
          <w:lang w:val="fr-FR"/>
        </w:rPr>
      </w:pPr>
      <w:r w:rsidRPr="00472806">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rsidR="002D53E2" w:rsidRPr="00472806" w:rsidRDefault="00D832BF">
      <w:pPr>
        <w:pStyle w:val="Titre1"/>
        <w:rPr>
          <w:rFonts w:eastAsia="Arial"/>
          <w:color w:val="000000"/>
          <w:sz w:val="28"/>
          <w:lang w:val="fr-FR"/>
        </w:rPr>
      </w:pPr>
      <w:bookmarkStart w:id="37" w:name="_Toc256000038"/>
      <w:r w:rsidRPr="00472806">
        <w:rPr>
          <w:rFonts w:eastAsia="Arial"/>
          <w:color w:val="000000"/>
          <w:sz w:val="28"/>
          <w:lang w:val="fr-FR"/>
        </w:rPr>
        <w:t>17 - Dérogations</w:t>
      </w:r>
      <w:bookmarkEnd w:id="37"/>
    </w:p>
    <w:p w:rsidR="002D53E2" w:rsidRPr="00472806" w:rsidRDefault="00D832BF">
      <w:pPr>
        <w:pStyle w:val="ParagrapheIndent1"/>
        <w:spacing w:line="253" w:lineRule="exact"/>
        <w:ind w:left="20" w:right="20"/>
        <w:jc w:val="both"/>
        <w:rPr>
          <w:color w:val="000000"/>
          <w:lang w:val="fr-FR"/>
        </w:rPr>
      </w:pPr>
      <w:r w:rsidRPr="00472806">
        <w:rPr>
          <w:color w:val="000000"/>
          <w:lang w:val="fr-FR"/>
        </w:rPr>
        <w:t>- L'article 11.1 du CCAP déroge à l'article 26.2 du CCAG - Prestations Intellectuelles</w:t>
      </w:r>
    </w:p>
    <w:p w:rsidR="002D53E2" w:rsidRPr="00472806" w:rsidRDefault="00D832BF">
      <w:pPr>
        <w:pStyle w:val="ParagrapheIndent1"/>
        <w:spacing w:line="253" w:lineRule="exact"/>
        <w:ind w:left="20" w:right="20"/>
        <w:jc w:val="both"/>
        <w:rPr>
          <w:color w:val="000000"/>
          <w:lang w:val="fr-FR"/>
        </w:rPr>
      </w:pPr>
      <w:r w:rsidRPr="00472806">
        <w:rPr>
          <w:color w:val="000000"/>
          <w:lang w:val="fr-FR"/>
        </w:rPr>
        <w:t>- L'article 13.1 du CCAP déroge à l'article 14.1</w:t>
      </w:r>
      <w:r w:rsidR="0070618F" w:rsidRPr="00472806">
        <w:rPr>
          <w:color w:val="000000"/>
          <w:lang w:val="fr-FR"/>
        </w:rPr>
        <w:t>.2</w:t>
      </w:r>
      <w:r w:rsidRPr="00472806">
        <w:rPr>
          <w:color w:val="000000"/>
          <w:lang w:val="fr-FR"/>
        </w:rPr>
        <w:t xml:space="preserve"> du CCAG - Prestations Intellectuelles</w:t>
      </w:r>
    </w:p>
    <w:p w:rsidR="002D53E2" w:rsidRPr="00472806" w:rsidRDefault="00D832BF">
      <w:pPr>
        <w:pStyle w:val="ParagrapheIndent1"/>
        <w:spacing w:line="253" w:lineRule="exact"/>
        <w:ind w:left="20" w:right="20"/>
        <w:jc w:val="both"/>
        <w:rPr>
          <w:color w:val="000000"/>
          <w:lang w:val="fr-FR"/>
        </w:rPr>
      </w:pPr>
      <w:r w:rsidRPr="00472806">
        <w:rPr>
          <w:color w:val="000000"/>
          <w:lang w:val="fr-FR"/>
        </w:rPr>
        <w:t>- L'article 13.1 du CCAP déroge à l'article 14.</w:t>
      </w:r>
      <w:r w:rsidR="0070618F" w:rsidRPr="00472806">
        <w:rPr>
          <w:color w:val="000000"/>
          <w:lang w:val="fr-FR"/>
        </w:rPr>
        <w:t>1.</w:t>
      </w:r>
      <w:r w:rsidRPr="00472806">
        <w:rPr>
          <w:color w:val="000000"/>
          <w:lang w:val="fr-FR"/>
        </w:rPr>
        <w:t>3 du CCAG - Prestations Intellectuelles</w:t>
      </w:r>
    </w:p>
    <w:p w:rsidR="002D53E2" w:rsidRPr="00472806" w:rsidRDefault="002D53E2">
      <w:pPr>
        <w:pStyle w:val="ParagrapheIndent1"/>
        <w:spacing w:line="253" w:lineRule="exact"/>
        <w:ind w:left="20" w:right="20"/>
        <w:jc w:val="both"/>
        <w:rPr>
          <w:color w:val="000000"/>
          <w:lang w:val="fr-FR"/>
        </w:rPr>
      </w:pPr>
    </w:p>
    <w:sectPr w:rsidR="002D53E2" w:rsidRPr="00472806">
      <w:footerReference w:type="default" r:id="rId9"/>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2BF" w:rsidRDefault="00D832BF">
      <w:r>
        <w:separator/>
      </w:r>
    </w:p>
  </w:endnote>
  <w:endnote w:type="continuationSeparator" w:id="0">
    <w:p w:rsidR="00D832BF" w:rsidRDefault="00D8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BF" w:rsidRDefault="00D832BF">
    <w:pPr>
      <w:spacing w:line="240" w:lineRule="exact"/>
    </w:pPr>
  </w:p>
  <w:tbl>
    <w:tblPr>
      <w:tblW w:w="0" w:type="auto"/>
      <w:tblInd w:w="20" w:type="dxa"/>
      <w:tblLayout w:type="fixed"/>
      <w:tblLook w:val="04A0" w:firstRow="1" w:lastRow="0" w:firstColumn="1" w:lastColumn="0" w:noHBand="0" w:noVBand="1"/>
    </w:tblPr>
    <w:tblGrid>
      <w:gridCol w:w="5220"/>
      <w:gridCol w:w="4400"/>
    </w:tblGrid>
    <w:tr w:rsidR="00D832BF">
      <w:trPr>
        <w:trHeight w:val="260"/>
      </w:trPr>
      <w:tc>
        <w:tcPr>
          <w:tcW w:w="5220" w:type="dxa"/>
          <w:tcMar>
            <w:top w:w="0" w:type="dxa"/>
            <w:left w:w="0" w:type="dxa"/>
            <w:bottom w:w="0" w:type="dxa"/>
            <w:right w:w="0" w:type="dxa"/>
          </w:tcMar>
          <w:vAlign w:val="center"/>
        </w:tcPr>
        <w:p w:rsidR="00D832BF" w:rsidRDefault="00472806">
          <w:pPr>
            <w:pStyle w:val="PiedDePage"/>
            <w:jc w:val="both"/>
            <w:rPr>
              <w:color w:val="000000"/>
              <w:lang w:val="fr-FR"/>
            </w:rPr>
          </w:pPr>
          <w:r>
            <w:rPr>
              <w:color w:val="000000"/>
              <w:lang w:val="fr-FR"/>
            </w:rPr>
            <w:t>Consultation n°: 25-GHTA-0074</w:t>
          </w:r>
        </w:p>
      </w:tc>
      <w:tc>
        <w:tcPr>
          <w:tcW w:w="4400" w:type="dxa"/>
          <w:tcMar>
            <w:top w:w="0" w:type="dxa"/>
            <w:left w:w="0" w:type="dxa"/>
            <w:bottom w:w="0" w:type="dxa"/>
            <w:right w:w="0" w:type="dxa"/>
          </w:tcMar>
          <w:vAlign w:val="center"/>
        </w:tcPr>
        <w:p w:rsidR="00D832BF" w:rsidRDefault="00D832B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B7C2A">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B7C2A">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2BF" w:rsidRDefault="00D832BF">
      <w:r>
        <w:separator/>
      </w:r>
    </w:p>
  </w:footnote>
  <w:footnote w:type="continuationSeparator" w:id="0">
    <w:p w:rsidR="00D832BF" w:rsidRDefault="00D83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71EA"/>
    <w:multiLevelType w:val="hybridMultilevel"/>
    <w:tmpl w:val="E8A8F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7C6294"/>
    <w:multiLevelType w:val="hybridMultilevel"/>
    <w:tmpl w:val="32BA8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893627"/>
    <w:multiLevelType w:val="hybridMultilevel"/>
    <w:tmpl w:val="C896B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4A362E"/>
    <w:multiLevelType w:val="hybridMultilevel"/>
    <w:tmpl w:val="6002B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E2"/>
    <w:rsid w:val="00046EA3"/>
    <w:rsid w:val="000B2BD3"/>
    <w:rsid w:val="000B7C2A"/>
    <w:rsid w:val="000C2512"/>
    <w:rsid w:val="001774D7"/>
    <w:rsid w:val="001A6F88"/>
    <w:rsid w:val="001D7363"/>
    <w:rsid w:val="001F4B2B"/>
    <w:rsid w:val="002D53E2"/>
    <w:rsid w:val="002D7225"/>
    <w:rsid w:val="002E6CBE"/>
    <w:rsid w:val="002F0027"/>
    <w:rsid w:val="00322F59"/>
    <w:rsid w:val="0044008A"/>
    <w:rsid w:val="0047266E"/>
    <w:rsid w:val="00472806"/>
    <w:rsid w:val="004D1906"/>
    <w:rsid w:val="004F2199"/>
    <w:rsid w:val="00530CAF"/>
    <w:rsid w:val="0070618F"/>
    <w:rsid w:val="00730008"/>
    <w:rsid w:val="00783959"/>
    <w:rsid w:val="007E1666"/>
    <w:rsid w:val="00813B02"/>
    <w:rsid w:val="00830AB3"/>
    <w:rsid w:val="00845197"/>
    <w:rsid w:val="008F5C91"/>
    <w:rsid w:val="00A82B0A"/>
    <w:rsid w:val="00B85FF3"/>
    <w:rsid w:val="00C16FE8"/>
    <w:rsid w:val="00D832BF"/>
    <w:rsid w:val="00EF0B80"/>
    <w:rsid w:val="00F178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EBC719"/>
  <w15:docId w15:val="{7253F398-50A3-43B7-B48F-894B59DC2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table" w:styleId="Grilledutableau">
    <w:name w:val="Table Grid"/>
    <w:basedOn w:val="TableauNormal"/>
    <w:uiPriority w:val="59"/>
    <w:rsid w:val="0047266E"/>
    <w:rPr>
      <w:rFonts w:asciiTheme="minorHAnsi" w:eastAsiaTheme="minorEastAsia" w:hAnsiTheme="minorHAnsi" w:cstheme="minorBidi"/>
      <w:sz w:val="22"/>
      <w:szCs w:val="22"/>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7E1666"/>
    <w:pPr>
      <w:tabs>
        <w:tab w:val="center" w:pos="4536"/>
        <w:tab w:val="right" w:pos="9072"/>
      </w:tabs>
    </w:pPr>
  </w:style>
  <w:style w:type="character" w:customStyle="1" w:styleId="En-tteCar">
    <w:name w:val="En-tête Car"/>
    <w:basedOn w:val="Policepardfaut"/>
    <w:link w:val="En-tte"/>
    <w:rsid w:val="007E1666"/>
    <w:rPr>
      <w:sz w:val="24"/>
      <w:szCs w:val="24"/>
    </w:rPr>
  </w:style>
  <w:style w:type="paragraph" w:styleId="Pieddepage0">
    <w:name w:val="footer"/>
    <w:basedOn w:val="Normal"/>
    <w:link w:val="PieddepageCar"/>
    <w:unhideWhenUsed/>
    <w:rsid w:val="007E1666"/>
    <w:pPr>
      <w:tabs>
        <w:tab w:val="center" w:pos="4536"/>
        <w:tab w:val="right" w:pos="9072"/>
      </w:tabs>
    </w:pPr>
  </w:style>
  <w:style w:type="character" w:customStyle="1" w:styleId="PieddepageCar">
    <w:name w:val="Pied de page Car"/>
    <w:basedOn w:val="Policepardfaut"/>
    <w:link w:val="Pieddepage0"/>
    <w:rsid w:val="007E1666"/>
    <w:rPr>
      <w:sz w:val="24"/>
      <w:szCs w:val="24"/>
    </w:rPr>
  </w:style>
  <w:style w:type="paragraph" w:customStyle="1" w:styleId="Default">
    <w:name w:val="Default"/>
    <w:rsid w:val="000B7C2A"/>
    <w:pPr>
      <w:autoSpaceDE w:val="0"/>
      <w:autoSpaceDN w:val="0"/>
      <w:adjustRightInd w:val="0"/>
    </w:pPr>
    <w:rPr>
      <w:rFonts w:ascii="Arial"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9</Pages>
  <Words>2135</Words>
  <Characters>16889</Characters>
  <Application>Microsoft Office Word</Application>
  <DocSecurity>0</DocSecurity>
  <Lines>649</Lines>
  <Paragraphs>306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Poudenx Rodolphe</dc:creator>
  <cp:lastModifiedBy>Poudenx Rodolphe</cp:lastModifiedBy>
  <cp:revision>14</cp:revision>
  <dcterms:created xsi:type="dcterms:W3CDTF">2023-12-13T10:08:00Z</dcterms:created>
  <dcterms:modified xsi:type="dcterms:W3CDTF">2025-09-04T07:38:00Z</dcterms:modified>
</cp:coreProperties>
</file>